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customXml/_rels/item1.xml.rels" ContentType="application/vnd.openxmlformats-package.relationships+xml"/>
  <Override PartName="/customXml/itemProps1.xml" ContentType="application/vnd.openxmlformats-officedocument.customXmlProperties+xml"/>
  <Override PartName="/customXml/item1.xml" ContentType="application/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 </w:t>
      </w:r>
      <w:r>
        <w:rPr>
          <w:rFonts w:cs="Times New Roman" w:ascii="Times New Roman" w:hAnsi="Times New Roman"/>
          <w:sz w:val="28"/>
          <w:szCs w:val="28"/>
        </w:rPr>
        <w:t>«Информация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о ходе реализации Указа Президента РФ от 07.05.2012 г. </w:t>
      </w:r>
    </w:p>
    <w:p>
      <w:pPr>
        <w:pStyle w:val="Normal"/>
        <w:spacing w:lineRule="auto" w:line="240" w:before="0" w:after="0"/>
        <w:ind w:right="0" w:hanging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№</w:t>
      </w: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 xml:space="preserve">597 </w:t>
      </w:r>
      <w:r>
        <w:rPr>
          <w:rFonts w:cs="Times New Roman" w:ascii="Times New Roman" w:hAnsi="Times New Roman"/>
          <w:sz w:val="28"/>
          <w:szCs w:val="28"/>
        </w:rPr>
        <w:t xml:space="preserve">«О мероприятиях по реализации государственной социальной политики» </w:t>
      </w:r>
    </w:p>
    <w:p>
      <w:pPr>
        <w:pStyle w:val="Normal"/>
        <w:spacing w:lineRule="auto" w:line="240" w:before="0" w:after="0"/>
        <w:ind w:right="0" w:hanging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за 1 полугодие 2015 года</w:t>
      </w:r>
    </w:p>
    <w:p>
      <w:pPr>
        <w:pStyle w:val="Normal"/>
        <w:tabs>
          <w:tab w:val="left" w:pos="2700" w:leader="none"/>
        </w:tabs>
        <w:spacing w:lineRule="auto" w:line="240" w:before="0" w:after="0"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tabs>
          <w:tab w:val="left" w:pos="2700" w:leader="none"/>
        </w:tabs>
        <w:spacing w:lineRule="auto" w:line="240" w:before="0" w:after="0"/>
        <w:ind w:righ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результатам согласования показателей отраслевой «дорожной карты» на 2015 год заключено дополнительное соглашение от 23.03.2015 №13/41-1 к Соглашению от 20.05.2014 № 13/41 между Министерством здравоохранения Российской Федерации  и Правительством Астраханской области об обеспечении обязательного достижения в 2014–2018 годах целевых показателей (нормативов) оптимизации сети медицинских организаций государственной и муниципальной систем здравоохранения,  определенных планом мероприятий («дорожной картой»)  «Изменения в отраслях социальной сферы, направленные  на повышение эффективности здравоохранения».</w:t>
      </w:r>
    </w:p>
    <w:p>
      <w:pPr>
        <w:pStyle w:val="Normal"/>
        <w:tabs>
          <w:tab w:val="left" w:pos="2700" w:leader="none"/>
        </w:tabs>
        <w:spacing w:lineRule="auto" w:line="240" w:before="0" w:after="0"/>
        <w:ind w:righ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tbl>
      <w:tblPr>
        <w:tblW w:w="5000" w:type="pct"/>
        <w:jc w:val="left"/>
        <w:tblInd w:w="0" w:type="dxa"/>
        <w:tblBorders>
          <w:top w:val="single" w:sz="8" w:space="0" w:color="00000A"/>
          <w:left w:val="single" w:sz="4" w:space="0" w:color="00000A"/>
          <w:bottom w:val="single" w:sz="8" w:space="0" w:color="00000A"/>
          <w:right w:val="single" w:sz="4" w:space="0" w:color="00000A"/>
          <w:insideH w:val="single" w:sz="8" w:space="0" w:color="00000A"/>
          <w:insideV w:val="single" w:sz="4" w:space="0" w:color="00000A"/>
        </w:tblBorders>
        <w:tblCellMar>
          <w:top w:w="0" w:type="dxa"/>
          <w:left w:w="103" w:type="dxa"/>
          <w:bottom w:w="0" w:type="dxa"/>
          <w:right w:w="108" w:type="dxa"/>
        </w:tblCellMar>
        <w:tblLook w:val="04a0" w:noVBand="1" w:noHBand="0" w:lastColumn="0" w:firstColumn="1" w:lastRow="0" w:firstRow="1"/>
      </w:tblPr>
      <w:tblGrid>
        <w:gridCol w:w="5263"/>
        <w:gridCol w:w="1243"/>
        <w:gridCol w:w="950"/>
        <w:gridCol w:w="951"/>
        <w:gridCol w:w="948"/>
      </w:tblGrid>
      <w:tr>
        <w:trPr>
          <w:trHeight w:val="645" w:hRule="atLeast"/>
        </w:trPr>
        <w:tc>
          <w:tcPr>
            <w:tcW w:w="5263" w:type="dxa"/>
            <w:tcBorders>
              <w:top w:val="single" w:sz="8" w:space="0" w:color="00000A"/>
              <w:left w:val="single" w:sz="4" w:space="0" w:color="00000A"/>
              <w:bottom w:val="single" w:sz="8" w:space="0" w:color="00000A"/>
              <w:right w:val="single" w:sz="4" w:space="0" w:color="00000A"/>
              <w:insideH w:val="single" w:sz="8" w:space="0" w:color="00000A"/>
              <w:insideV w:val="single" w:sz="4" w:space="0" w:color="00000A"/>
            </w:tcBorders>
            <w:shd w:color="auto"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1243" w:type="dxa"/>
            <w:tcBorders>
              <w:top w:val="single" w:sz="8" w:space="0" w:color="00000A"/>
              <w:bottom w:val="single" w:sz="8" w:space="0" w:color="00000A"/>
              <w:right w:val="single" w:sz="4" w:space="0" w:color="00000A"/>
              <w:insideH w:val="single" w:sz="8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Ед.измер.</w:t>
            </w:r>
          </w:p>
        </w:tc>
        <w:tc>
          <w:tcPr>
            <w:tcW w:w="950" w:type="dxa"/>
            <w:tcBorders>
              <w:top w:val="single" w:sz="8" w:space="0" w:color="00000A"/>
              <w:bottom w:val="single" w:sz="8" w:space="0" w:color="00000A"/>
              <w:right w:val="single" w:sz="4" w:space="0" w:color="00000A"/>
              <w:insideH w:val="single" w:sz="8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2013</w:t>
            </w:r>
          </w:p>
        </w:tc>
        <w:tc>
          <w:tcPr>
            <w:tcW w:w="951" w:type="dxa"/>
            <w:tcBorders>
              <w:top w:val="single" w:sz="8" w:space="0" w:color="00000A"/>
              <w:bottom w:val="single" w:sz="8" w:space="0" w:color="00000A"/>
              <w:right w:val="single" w:sz="4" w:space="0" w:color="00000A"/>
              <w:insideH w:val="single" w:sz="8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2014</w:t>
            </w:r>
          </w:p>
        </w:tc>
        <w:tc>
          <w:tcPr>
            <w:tcW w:w="948" w:type="dxa"/>
            <w:tcBorders>
              <w:top w:val="single" w:sz="8" w:space="0" w:color="00000A"/>
              <w:bottom w:val="single" w:sz="8" w:space="0" w:color="00000A"/>
              <w:right w:val="single" w:sz="8" w:space="0" w:color="00000A"/>
              <w:insideH w:val="single" w:sz="8" w:space="0" w:color="00000A"/>
              <w:insideV w:val="single" w:sz="8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2015</w:t>
            </w:r>
          </w:p>
        </w:tc>
      </w:tr>
      <w:tr>
        <w:trPr>
          <w:trHeight w:val="2205" w:hRule="exact"/>
        </w:trPr>
        <w:tc>
          <w:tcPr>
            <w:tcW w:w="526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Отношение средней заработной платы врачей и работников медицинских организаций, имеющих высшее медицинское (фармацевтическое) или иное высшее образование, предоставляющих медицинские услуги (обеспечивающих предоставление медицинских услуг) к средней заработной плате по субъекту РФ</w:t>
            </w:r>
          </w:p>
        </w:tc>
        <w:tc>
          <w:tcPr>
            <w:tcW w:w="1243" w:type="dxa"/>
            <w:tcBorders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extDirection w:val="btL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 xml:space="preserve">проценты </w:t>
            </w:r>
          </w:p>
        </w:tc>
        <w:tc>
          <w:tcPr>
            <w:tcW w:w="950" w:type="dxa"/>
            <w:tcBorders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143,7</w:t>
            </w:r>
          </w:p>
        </w:tc>
        <w:tc>
          <w:tcPr>
            <w:tcW w:w="951" w:type="dxa"/>
            <w:tcBorders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136,8</w:t>
            </w:r>
          </w:p>
        </w:tc>
        <w:tc>
          <w:tcPr>
            <w:tcW w:w="948" w:type="dxa"/>
            <w:tcBorders>
              <w:bottom w:val="single" w:sz="4" w:space="0" w:color="00000A"/>
              <w:right w:val="single" w:sz="8" w:space="0" w:color="00000A"/>
              <w:insideH w:val="single" w:sz="4" w:space="0" w:color="00000A"/>
              <w:insideV w:val="single" w:sz="8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130,8</w:t>
            </w:r>
          </w:p>
        </w:tc>
      </w:tr>
      <w:tr>
        <w:trPr>
          <w:trHeight w:val="1890" w:hRule="exact"/>
        </w:trPr>
        <w:tc>
          <w:tcPr>
            <w:tcW w:w="526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Отношение средней заработной платы среднего медицинского (фармацевтического) персонала (персонала, обеспечивающего условия для предоставления медицинских услуг) к средней заработной плате по субъекту Российской Федерации</w:t>
            </w:r>
          </w:p>
        </w:tc>
        <w:tc>
          <w:tcPr>
            <w:tcW w:w="1243" w:type="dxa"/>
            <w:tcBorders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extDirection w:val="btL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 xml:space="preserve">проценты </w:t>
            </w:r>
          </w:p>
        </w:tc>
        <w:tc>
          <w:tcPr>
            <w:tcW w:w="950" w:type="dxa"/>
            <w:tcBorders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77,5</w:t>
            </w:r>
          </w:p>
        </w:tc>
        <w:tc>
          <w:tcPr>
            <w:tcW w:w="951" w:type="dxa"/>
            <w:tcBorders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78,1</w:t>
            </w:r>
          </w:p>
        </w:tc>
        <w:tc>
          <w:tcPr>
            <w:tcW w:w="948" w:type="dxa"/>
            <w:tcBorders>
              <w:bottom w:val="single" w:sz="4" w:space="0" w:color="00000A"/>
              <w:right w:val="single" w:sz="8" w:space="0" w:color="00000A"/>
              <w:insideH w:val="single" w:sz="4" w:space="0" w:color="00000A"/>
              <w:insideV w:val="single" w:sz="8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74,7</w:t>
            </w:r>
          </w:p>
        </w:tc>
      </w:tr>
      <w:tr>
        <w:trPr>
          <w:trHeight w:val="1575" w:hRule="exact"/>
        </w:trPr>
        <w:tc>
          <w:tcPr>
            <w:tcW w:w="526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Отношение средней заработной платы младшего медицинского персонала (персонала, обеспечивающего условия для предоставления медицинских услуг) к средней заработной плате по субъекту Российской Федерации</w:t>
            </w:r>
          </w:p>
        </w:tc>
        <w:tc>
          <w:tcPr>
            <w:tcW w:w="1243" w:type="dxa"/>
            <w:tcBorders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extDirection w:val="btL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 xml:space="preserve">проценты </w:t>
            </w:r>
          </w:p>
        </w:tc>
        <w:tc>
          <w:tcPr>
            <w:tcW w:w="950" w:type="dxa"/>
            <w:tcBorders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43,2</w:t>
            </w:r>
          </w:p>
        </w:tc>
        <w:tc>
          <w:tcPr>
            <w:tcW w:w="951" w:type="dxa"/>
            <w:tcBorders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50,4</w:t>
            </w:r>
          </w:p>
        </w:tc>
        <w:tc>
          <w:tcPr>
            <w:tcW w:w="948" w:type="dxa"/>
            <w:tcBorders>
              <w:bottom w:val="single" w:sz="4" w:space="0" w:color="00000A"/>
              <w:right w:val="single" w:sz="8" w:space="0" w:color="00000A"/>
              <w:insideH w:val="single" w:sz="4" w:space="0" w:color="00000A"/>
              <w:insideV w:val="single" w:sz="8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48,2</w:t>
            </w:r>
          </w:p>
        </w:tc>
      </w:tr>
    </w:tbl>
    <w:p>
      <w:pPr>
        <w:pStyle w:val="Normal"/>
        <w:tabs>
          <w:tab w:val="left" w:pos="2700" w:leader="none"/>
        </w:tabs>
        <w:spacing w:lineRule="auto" w:line="240" w:before="0" w:after="0"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Показатели численности и среднемесячной заработной платы по категориям работников государственных и муниципальных учреждений Астраханской области, повышение оплаты труда которых предусмотрено Указом Президента Российской Федерации от 07.05.2012 № 597,  согласованы с учетом сохранения достигнутого в 2014 году уровня средней заработной платы в абсолютном значении.</w:t>
      </w:r>
    </w:p>
    <w:p>
      <w:pPr>
        <w:pStyle w:val="Normal"/>
        <w:tabs>
          <w:tab w:val="left" w:pos="2700" w:leader="none"/>
        </w:tabs>
        <w:spacing w:lineRule="auto" w:line="240" w:before="0" w:after="0"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Анализ фактического достижения плановых показателей «дорожной карты» средней заработной платы медицинских работников за январь-июнь 2015 года по данным Росстата показал следующее.</w:t>
      </w:r>
    </w:p>
    <w:p>
      <w:pPr>
        <w:pStyle w:val="Normal"/>
        <w:tabs>
          <w:tab w:val="left" w:pos="2700" w:leader="none"/>
        </w:tabs>
        <w:spacing w:lineRule="auto" w:line="240" w:before="0" w:after="0"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Уровень средней заработной платы в Астраханской области по </w:t>
      </w:r>
      <w:r>
        <w:rPr>
          <w:rFonts w:cs="Times New Roman" w:ascii="Times New Roman" w:hAnsi="Times New Roman"/>
          <w:b/>
          <w:sz w:val="28"/>
          <w:szCs w:val="28"/>
        </w:rPr>
        <w:t>врачам и иным работникам</w:t>
      </w:r>
      <w:r>
        <w:rPr>
          <w:rFonts w:cs="Times New Roman" w:ascii="Times New Roman" w:hAnsi="Times New Roman"/>
          <w:sz w:val="28"/>
          <w:szCs w:val="28"/>
        </w:rPr>
        <w:t>, имеющим высшее медицинское (фармацевтическое) или иное высшее профессиональное образование, предоставляющим медицинские услуги (обеспечивающих предоставление медицинских услуг) всех отраслей составляет 33 012,0 рублей или 131,8% к средней заработной плате по экономике региона (25 050,8 рублей) при плановом соотношении – 130,8%, в том числе по формам собственности:</w:t>
      </w:r>
    </w:p>
    <w:p>
      <w:pPr>
        <w:pStyle w:val="Normal"/>
        <w:tabs>
          <w:tab w:val="left" w:pos="2700" w:leader="none"/>
        </w:tabs>
        <w:spacing w:lineRule="auto" w:line="240" w:before="0" w:after="0"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- по государственным учреждениям – 33 061,7 рублей или 132,0 %;</w:t>
      </w:r>
    </w:p>
    <w:p>
      <w:pPr>
        <w:pStyle w:val="Normal"/>
        <w:tabs>
          <w:tab w:val="left" w:pos="2700" w:leader="none"/>
        </w:tabs>
        <w:spacing w:lineRule="auto" w:line="240" w:before="0" w:after="0"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- по муниципальным учреждениям – 17 686,3  рублей или 70,6%.</w:t>
      </w:r>
    </w:p>
    <w:p>
      <w:pPr>
        <w:pStyle w:val="Normal"/>
        <w:tabs>
          <w:tab w:val="left" w:pos="2700" w:leader="none"/>
        </w:tabs>
        <w:spacing w:lineRule="auto" w:line="240" w:before="0" w:after="0"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 разрезе отраслей показатели сложились следующим образом:</w:t>
      </w:r>
    </w:p>
    <w:p>
      <w:pPr>
        <w:pStyle w:val="Normal"/>
        <w:tabs>
          <w:tab w:val="left" w:pos="2700" w:leader="none"/>
        </w:tabs>
        <w:spacing w:lineRule="auto" w:line="240" w:before="0" w:after="0"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- по учреждениям здравоохранения – 33 056,0 рублей или 132,0%;</w:t>
      </w:r>
    </w:p>
    <w:p>
      <w:pPr>
        <w:pStyle w:val="Normal"/>
        <w:tabs>
          <w:tab w:val="left" w:pos="2700" w:leader="none"/>
        </w:tabs>
        <w:spacing w:lineRule="auto" w:line="240" w:before="0" w:after="0"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- по государственным учреждениям образования – 31 956,1 рублей или 127,6 %;</w:t>
      </w:r>
    </w:p>
    <w:p>
      <w:pPr>
        <w:pStyle w:val="Normal"/>
        <w:tabs>
          <w:tab w:val="left" w:pos="2700" w:leader="none"/>
        </w:tabs>
        <w:spacing w:lineRule="auto" w:line="240" w:before="0" w:after="0"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- по муниципальным учреждениям образования – 17 686,3 рублей или 70,6 %;</w:t>
      </w:r>
    </w:p>
    <w:p>
      <w:pPr>
        <w:pStyle w:val="Normal"/>
        <w:tabs>
          <w:tab w:val="left" w:pos="2700" w:leader="none"/>
        </w:tabs>
        <w:spacing w:lineRule="auto" w:line="240" w:before="0" w:after="0"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- по учреждениям по предоставлению социальных услуг – 33 658,8 рублей или 134,4%.</w:t>
      </w:r>
    </w:p>
    <w:p>
      <w:pPr>
        <w:pStyle w:val="Normal"/>
        <w:tabs>
          <w:tab w:val="left" w:pos="2700" w:leader="none"/>
        </w:tabs>
        <w:spacing w:lineRule="auto" w:line="240" w:before="0" w:after="0"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По </w:t>
      </w:r>
      <w:r>
        <w:rPr>
          <w:rFonts w:cs="Times New Roman" w:ascii="Times New Roman" w:hAnsi="Times New Roman"/>
          <w:b/>
          <w:sz w:val="28"/>
          <w:szCs w:val="28"/>
        </w:rPr>
        <w:t>среднему медицинскому персоналу</w:t>
      </w:r>
      <w:r>
        <w:rPr>
          <w:rFonts w:cs="Times New Roman" w:ascii="Times New Roman" w:hAnsi="Times New Roman"/>
          <w:sz w:val="28"/>
          <w:szCs w:val="28"/>
        </w:rPr>
        <w:t xml:space="preserve"> уровень средней заработной платы в Астраханской области составил 19 011,0 рублей или 75,9%, при плановом соотношении – 74,7%, в том числе по формам собственности:</w:t>
      </w:r>
    </w:p>
    <w:p>
      <w:pPr>
        <w:pStyle w:val="Normal"/>
        <w:tabs>
          <w:tab w:val="left" w:pos="2700" w:leader="none"/>
        </w:tabs>
        <w:spacing w:lineRule="auto" w:line="240" w:before="0" w:after="0"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- по государственным учреждениям – 19 151,6 рублей или 76,5 %;</w:t>
      </w:r>
    </w:p>
    <w:p>
      <w:pPr>
        <w:pStyle w:val="Normal"/>
        <w:tabs>
          <w:tab w:val="left" w:pos="2700" w:leader="none"/>
        </w:tabs>
        <w:spacing w:lineRule="auto" w:line="240" w:before="0" w:after="0"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- по муниципальным учреждениям – 10 994,2  рублей или 43,9%.</w:t>
      </w:r>
    </w:p>
    <w:p>
      <w:pPr>
        <w:pStyle w:val="Normal"/>
        <w:tabs>
          <w:tab w:val="left" w:pos="2700" w:leader="none"/>
        </w:tabs>
        <w:spacing w:lineRule="auto" w:line="240" w:before="0" w:after="0"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 разрезе отраслей показатели сложились следующим образом:</w:t>
      </w:r>
    </w:p>
    <w:p>
      <w:pPr>
        <w:pStyle w:val="Normal"/>
        <w:tabs>
          <w:tab w:val="left" w:pos="2700" w:leader="none"/>
        </w:tabs>
        <w:spacing w:lineRule="auto" w:line="240" w:before="0" w:after="0"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- по учреждениям здравоохранения – 19 137,8 рублей или 76,4 %;</w:t>
      </w:r>
    </w:p>
    <w:p>
      <w:pPr>
        <w:pStyle w:val="Normal"/>
        <w:tabs>
          <w:tab w:val="left" w:pos="2700" w:leader="none"/>
        </w:tabs>
        <w:spacing w:lineRule="auto" w:line="240" w:before="0" w:after="0"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- по государственным учреждениям образования – 21 348,9 рублей или 85,2 %;</w:t>
      </w:r>
    </w:p>
    <w:p>
      <w:pPr>
        <w:pStyle w:val="Normal"/>
        <w:tabs>
          <w:tab w:val="left" w:pos="2700" w:leader="none"/>
        </w:tabs>
        <w:spacing w:lineRule="auto" w:line="240" w:before="0" w:after="0"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- по муниципальным учреждениям образования – 10 994,2 рублей или 43,9 %;</w:t>
      </w:r>
    </w:p>
    <w:p>
      <w:pPr>
        <w:pStyle w:val="Normal"/>
        <w:tabs>
          <w:tab w:val="left" w:pos="2700" w:leader="none"/>
        </w:tabs>
        <w:spacing w:lineRule="auto" w:line="240" w:before="0" w:after="0"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- по учреждениям по предоставлению социальных услуг – 19 166,1  рублей или 76,5 %.</w:t>
      </w:r>
    </w:p>
    <w:p>
      <w:pPr>
        <w:pStyle w:val="Normal"/>
        <w:tabs>
          <w:tab w:val="left" w:pos="2700" w:leader="none"/>
        </w:tabs>
        <w:spacing w:lineRule="auto" w:line="240" w:before="0" w:after="0"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По </w:t>
      </w:r>
      <w:r>
        <w:rPr>
          <w:rFonts w:cs="Times New Roman" w:ascii="Times New Roman" w:hAnsi="Times New Roman"/>
          <w:b/>
          <w:sz w:val="28"/>
          <w:szCs w:val="28"/>
        </w:rPr>
        <w:t>младшему  медицинскому персоналу</w:t>
      </w:r>
      <w:r>
        <w:rPr>
          <w:rFonts w:cs="Times New Roman" w:ascii="Times New Roman" w:hAnsi="Times New Roman"/>
          <w:sz w:val="28"/>
          <w:szCs w:val="28"/>
        </w:rPr>
        <w:t xml:space="preserve"> уровень средней заработной платы в Астраханской области составил 12 410,8 рублей или 49,5%, при плановом соотношении – 48,2% (в муниципальных учреждениях данная категория персонала отсутствует).</w:t>
      </w:r>
    </w:p>
    <w:p>
      <w:pPr>
        <w:pStyle w:val="Normal"/>
        <w:tabs>
          <w:tab w:val="left" w:pos="2700" w:leader="none"/>
        </w:tabs>
        <w:spacing w:lineRule="auto" w:line="240" w:before="0" w:after="0"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 разрезе отраслей показатели сложились следующим образом:</w:t>
      </w:r>
    </w:p>
    <w:p>
      <w:pPr>
        <w:pStyle w:val="Normal"/>
        <w:tabs>
          <w:tab w:val="left" w:pos="2700" w:leader="none"/>
        </w:tabs>
        <w:spacing w:lineRule="auto" w:line="240" w:before="0" w:after="0"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-  по учреждениям здравоохранения – 12 401,2 рублей или 49,5 %;</w:t>
      </w:r>
    </w:p>
    <w:p>
      <w:pPr>
        <w:pStyle w:val="Normal"/>
        <w:tabs>
          <w:tab w:val="left" w:pos="2700" w:leader="none"/>
        </w:tabs>
        <w:spacing w:lineRule="auto" w:line="240" w:before="0" w:after="0"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- по учреждениям по предоставлению социальных услуг – 12 467,2  рублей или 49,8 %.</w:t>
      </w:r>
    </w:p>
    <w:p>
      <w:pPr>
        <w:pStyle w:val="Normal"/>
        <w:spacing w:lineRule="auto" w:line="240" w:before="0" w:after="0"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Превышение показателей обосновано сохранением достигнутого в 2014 году уровня заработной платы в абсолютном значении  и  достижением уровня заработной платы в среднем по региону ниже прогнозных значений.</w:t>
      </w:r>
    </w:p>
    <w:p>
      <w:pPr>
        <w:pStyle w:val="Normal"/>
        <w:tabs>
          <w:tab w:val="left" w:pos="2700" w:leader="none"/>
        </w:tabs>
        <w:spacing w:lineRule="auto" w:line="240" w:before="0" w:after="0"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Прогноз средней заработной платы по экономике региона на 2015 год согласован в соответствии с данными министерства экономического развития Астраханской области в размере 25 594,2 рублей.</w:t>
      </w:r>
    </w:p>
    <w:p>
      <w:pPr>
        <w:pStyle w:val="Normal"/>
        <w:spacing w:lineRule="auto" w:line="240" w:before="0" w:after="0"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Достижение плановых значений по отношению к указанному прогнозу средней заработной платы отдельных категорий работников, предоставляющих медицинские услуги (обеспечивающих предоставление медицинских услуг) в медицинских организациях государственной и муниципальной форм собственности по Астраханской области составляет:</w:t>
      </w:r>
    </w:p>
    <w:p>
      <w:pPr>
        <w:pStyle w:val="Normal"/>
        <w:tabs>
          <w:tab w:val="left" w:pos="993" w:leader="none"/>
        </w:tabs>
        <w:spacing w:lineRule="auto" w:line="240" w:before="0" w:after="0"/>
        <w:ind w:right="0" w:firstLine="709"/>
        <w:jc w:val="both"/>
        <w:rPr>
          <w:rFonts w:ascii="Times New Roman CYR" w:hAnsi="Times New Roman CYR"/>
          <w:sz w:val="28"/>
        </w:rPr>
      </w:pPr>
      <w:r>
        <w:rPr>
          <w:rFonts w:ascii="Times New Roman CYR" w:hAnsi="Times New Roman CYR"/>
          <w:sz w:val="28"/>
        </w:rPr>
        <w:t>-</w:t>
        <w:tab/>
        <w:t xml:space="preserve">по врачам и иным работникам – </w:t>
      </w:r>
      <w:r>
        <w:rPr>
          <w:rFonts w:cs="Times New Roman" w:ascii="Times New Roman" w:hAnsi="Times New Roman"/>
          <w:sz w:val="28"/>
          <w:szCs w:val="28"/>
        </w:rPr>
        <w:t>129,0% (при целевом значении – 130,8%)</w:t>
      </w:r>
      <w:r>
        <w:rPr>
          <w:rFonts w:ascii="Times New Roman CYR" w:hAnsi="Times New Roman CYR"/>
          <w:sz w:val="28"/>
        </w:rPr>
        <w:t>;</w:t>
      </w:r>
    </w:p>
    <w:p>
      <w:pPr>
        <w:pStyle w:val="Normal"/>
        <w:tabs>
          <w:tab w:val="left" w:pos="993" w:leader="none"/>
        </w:tabs>
        <w:spacing w:lineRule="auto" w:line="240" w:before="0" w:after="0"/>
        <w:ind w:right="0" w:firstLine="709"/>
        <w:jc w:val="both"/>
        <w:rPr>
          <w:rFonts w:ascii="Times New Roman CYR" w:hAnsi="Times New Roman CYR"/>
          <w:sz w:val="28"/>
        </w:rPr>
      </w:pPr>
      <w:r>
        <w:rPr>
          <w:rFonts w:ascii="Times New Roman CYR" w:hAnsi="Times New Roman CYR"/>
          <w:sz w:val="28"/>
        </w:rPr>
        <w:t>-</w:t>
        <w:tab/>
        <w:t>по среднему медицинскому (фармацевтическому) персоналу  – 74,3</w:t>
      </w:r>
      <w:r>
        <w:rPr>
          <w:rFonts w:cs="Times New Roman" w:ascii="Times New Roman" w:hAnsi="Times New Roman"/>
          <w:sz w:val="28"/>
          <w:szCs w:val="28"/>
        </w:rPr>
        <w:t>%  (при целевом значении – 74,7%)</w:t>
      </w:r>
      <w:r>
        <w:rPr>
          <w:rFonts w:ascii="Times New Roman CYR" w:hAnsi="Times New Roman CYR"/>
          <w:sz w:val="28"/>
        </w:rPr>
        <w:t>;</w:t>
      </w:r>
    </w:p>
    <w:p>
      <w:pPr>
        <w:pStyle w:val="Normal"/>
        <w:tabs>
          <w:tab w:val="left" w:pos="993" w:leader="none"/>
        </w:tabs>
        <w:spacing w:lineRule="auto" w:line="240" w:before="0" w:after="0"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 CYR" w:hAnsi="Times New Roman CYR"/>
          <w:sz w:val="28"/>
        </w:rPr>
        <w:t>-</w:t>
        <w:tab/>
        <w:t>по младшему медицинскому персоналу – 48,5</w:t>
      </w:r>
      <w:r>
        <w:rPr>
          <w:rFonts w:cs="Times New Roman" w:ascii="Times New Roman" w:hAnsi="Times New Roman"/>
          <w:sz w:val="28"/>
          <w:szCs w:val="28"/>
        </w:rPr>
        <w:t>% (при целевом значении – 48,2%).</w:t>
      </w:r>
    </w:p>
    <w:p>
      <w:pPr>
        <w:pStyle w:val="Normal"/>
        <w:spacing w:lineRule="auto" w:line="240" w:before="0" w:after="0"/>
        <w:ind w:right="0" w:firstLine="709"/>
        <w:jc w:val="both"/>
        <w:rPr>
          <w:rFonts w:ascii="Times New Roman" w:hAnsi="Times New Roman" w:eastAsia="Calibri" w:cs="Times New Roman"/>
          <w:sz w:val="28"/>
          <w:szCs w:val="28"/>
        </w:rPr>
      </w:pPr>
      <w:bookmarkStart w:id="0" w:name="sub_101121"/>
      <w:r>
        <w:rPr>
          <w:rFonts w:eastAsia="Calibri" w:cs="Times New Roman" w:ascii="Times New Roman" w:hAnsi="Times New Roman"/>
          <w:sz w:val="28"/>
          <w:szCs w:val="28"/>
        </w:rPr>
        <w:t xml:space="preserve">Министерством здравоохранения Астраханской области по реализации </w:t>
      </w: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 xml:space="preserve">Указа Президента РФ от 07.05.2012 г. №597 </w:t>
      </w:r>
      <w:r>
        <w:rPr>
          <w:rFonts w:eastAsia="Calibri" w:cs="Times New Roman" w:ascii="Times New Roman" w:hAnsi="Times New Roman"/>
          <w:sz w:val="28"/>
          <w:szCs w:val="28"/>
        </w:rPr>
        <w:t>«О мероприятиях по реализации государственной социальной политики» проведены следующие мероприятия:</w:t>
      </w:r>
    </w:p>
    <w:p>
      <w:pPr>
        <w:pStyle w:val="Normal"/>
        <w:numPr>
          <w:ilvl w:val="0"/>
          <w:numId w:val="1"/>
        </w:numPr>
        <w:tabs>
          <w:tab w:val="left" w:pos="1134" w:leader="none"/>
          <w:tab w:val="left" w:pos="1276" w:leader="none"/>
        </w:tabs>
        <w:spacing w:lineRule="auto" w:line="240" w:before="0" w:after="0"/>
        <w:ind w:left="1212" w:right="0" w:firstLine="709"/>
        <w:contextualSpacing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eastAsia="Calibri" w:cs="Times New Roman" w:ascii="Times New Roman" w:hAnsi="Times New Roman"/>
          <w:sz w:val="28"/>
          <w:szCs w:val="28"/>
        </w:rPr>
        <w:t>Организована деятельность ЛПУ по предоставлению форм федерального статистического наблюдения численности и оплаты труда отдельных категорий работников государственных учреждений, подведомственных министерству здравоохранения Астраханской области, ЗП–здрав в соответствии с постановлением министерства здравоохранения Астраханской области от 11.07.2014 №57П.</w:t>
      </w:r>
    </w:p>
    <w:p>
      <w:pPr>
        <w:pStyle w:val="Normal"/>
        <w:numPr>
          <w:ilvl w:val="0"/>
          <w:numId w:val="1"/>
        </w:numPr>
        <w:tabs>
          <w:tab w:val="left" w:pos="1134" w:leader="none"/>
          <w:tab w:val="left" w:pos="1276" w:leader="none"/>
        </w:tabs>
        <w:spacing w:lineRule="auto" w:line="240" w:before="0" w:after="0"/>
        <w:ind w:left="1212" w:right="0" w:firstLine="709"/>
        <w:contextualSpacing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eastAsia="Calibri" w:cs="Times New Roman" w:ascii="Times New Roman" w:hAnsi="Times New Roman"/>
          <w:sz w:val="28"/>
          <w:szCs w:val="28"/>
        </w:rPr>
        <w:t>Ежемесячно осуществляется мониторинг средней заработной платы по вышеуказанным категориям работников. Информация на основе мониторинга предоставляется в Министерство здравоохранения РФ, министерство социального развития и труда РФ, и другие органы государственной власти.</w:t>
      </w:r>
    </w:p>
    <w:p>
      <w:pPr>
        <w:pStyle w:val="Normal"/>
        <w:spacing w:lineRule="auto" w:line="240" w:before="0" w:after="0"/>
        <w:ind w:right="0" w:firstLine="709"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eastAsia="Calibri" w:cs="Times New Roman" w:ascii="Times New Roman" w:hAnsi="Times New Roman"/>
          <w:sz w:val="28"/>
          <w:szCs w:val="28"/>
        </w:rPr>
        <w:t>3. Проводится работа по совершенствованию системы оплаты труда учреждений, подведомственных министерству здравоохранения Астраханской области.</w:t>
      </w:r>
    </w:p>
    <w:p>
      <w:pPr>
        <w:pStyle w:val="Normal"/>
        <w:spacing w:lineRule="auto" w:line="240" w:before="0" w:after="0"/>
        <w:ind w:right="0" w:firstLine="709"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eastAsia="Calibri" w:cs="Times New Roman" w:ascii="Times New Roman" w:hAnsi="Times New Roman"/>
          <w:sz w:val="28"/>
          <w:szCs w:val="28"/>
        </w:rPr>
        <w:t>Принято постановление Правительства Астраханской области от 15.07.2015 № 363-П «О внесении изменений в постановление Правительства Астраханской области от 21.02.2013 №43-П», предусматривающий увеличение действующих окладов на 57%, приведение в соответствие действующему законодательству выплат компенсационного характера, оптимизацию выплат стимулирующего характера.</w:t>
      </w:r>
    </w:p>
    <w:p>
      <w:pPr>
        <w:pStyle w:val="Normal"/>
        <w:spacing w:lineRule="auto" w:line="240" w:before="0" w:after="0"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eastAsia="Calibri" w:cs="Times New Roman" w:ascii="Times New Roman" w:hAnsi="Times New Roman"/>
          <w:sz w:val="28"/>
          <w:szCs w:val="28"/>
        </w:rPr>
        <w:t xml:space="preserve">Установлена предельная доля расходов на оплату труда административно-управленческого и вспомогательного персонала в фонде оплаты труда учреждения до 40 процентов. </w:t>
      </w:r>
    </w:p>
    <w:p>
      <w:pPr>
        <w:pStyle w:val="Normal"/>
        <w:spacing w:lineRule="auto" w:line="240" w:before="0" w:after="0"/>
        <w:ind w:right="0" w:firstLine="709"/>
        <w:jc w:val="both"/>
        <w:rPr>
          <w:rFonts w:ascii="Times New Roman" w:hAnsi="Times New Roman" w:eastAsia="Calibri" w:cs="Times New Roman"/>
          <w:color w:val="000000" w:themeColor="text1"/>
          <w:sz w:val="28"/>
          <w:szCs w:val="28"/>
        </w:rPr>
      </w:pPr>
      <w:r>
        <w:rPr>
          <w:rFonts w:eastAsia="Calibri" w:cs="Times New Roman" w:ascii="Times New Roman" w:hAnsi="Times New Roman"/>
          <w:sz w:val="28"/>
          <w:szCs w:val="28"/>
        </w:rPr>
        <w:t xml:space="preserve">В целях создания прозрачного механизма оплаты труда </w:t>
      </w:r>
      <w:r>
        <w:rPr>
          <w:rFonts w:eastAsia="Calibri" w:cs="Times New Roman" w:ascii="Times New Roman" w:hAnsi="Times New Roman"/>
          <w:color w:val="000000" w:themeColor="text1"/>
          <w:sz w:val="28"/>
          <w:szCs w:val="28"/>
        </w:rPr>
        <w:t>руководителей учреждений министерством здравоохранения Астраханской области проведены следующие мероприятия:</w:t>
      </w:r>
    </w:p>
    <w:p>
      <w:pPr>
        <w:pStyle w:val="Normal"/>
        <w:tabs>
          <w:tab w:val="left" w:pos="1134" w:leader="none"/>
        </w:tabs>
        <w:spacing w:lineRule="auto" w:line="240" w:before="0" w:after="0"/>
        <w:ind w:right="0" w:firstLine="709"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eastAsia="Calibri" w:cs="Times New Roman" w:ascii="Times New Roman" w:hAnsi="Times New Roman"/>
          <w:sz w:val="28"/>
          <w:szCs w:val="28"/>
        </w:rPr>
        <w:t>- постановлением министерства здравоохранения Астраханской области от 13.08.2013 №79П утвержден порядок премирования руководителей государственных учреждений и методика оценки показателей эффективности деятельности государственных учреждений, подведомственных министерству здравоохранения Астраханской области;</w:t>
      </w:r>
    </w:p>
    <w:p>
      <w:pPr>
        <w:pStyle w:val="Normal"/>
        <w:spacing w:lineRule="auto" w:line="240" w:before="0" w:after="0"/>
        <w:ind w:right="0" w:firstLine="709"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eastAsia="Calibri" w:cs="Times New Roman" w:ascii="Times New Roman" w:hAnsi="Times New Roman"/>
          <w:sz w:val="28"/>
          <w:szCs w:val="28"/>
        </w:rPr>
        <w:t xml:space="preserve">- </w:t>
      </w:r>
      <w:r>
        <w:rPr>
          <w:rFonts w:eastAsia="Calibri" w:cs="Times New Roman" w:ascii="Times New Roman" w:hAnsi="Times New Roman"/>
          <w:bCs/>
          <w:sz w:val="28"/>
          <w:szCs w:val="28"/>
        </w:rPr>
        <w:t>руководителями учреждений представляются сведения о доходах, об имуществе и обязательствах имущественного характера</w:t>
      </w:r>
      <w:r>
        <w:rPr>
          <w:rFonts w:eastAsia="Calibri" w:cs="Times New Roman" w:ascii="Times New Roman" w:hAnsi="Times New Roman"/>
          <w:sz w:val="28"/>
          <w:szCs w:val="28"/>
        </w:rPr>
        <w:t>;</w:t>
      </w:r>
    </w:p>
    <w:p>
      <w:pPr>
        <w:pStyle w:val="Normal"/>
        <w:spacing w:lineRule="auto" w:line="240" w:before="0" w:after="0"/>
        <w:ind w:right="0" w:firstLine="709"/>
        <w:jc w:val="both"/>
        <w:rPr>
          <w:rFonts w:ascii="Times New Roman" w:hAnsi="Times New Roman" w:eastAsia="Calibri" w:cs="Times New Roman"/>
          <w:b/>
          <w:b/>
          <w:sz w:val="28"/>
          <w:szCs w:val="28"/>
        </w:rPr>
      </w:pPr>
      <w:r>
        <w:rPr>
          <w:rFonts w:eastAsia="Calibri" w:cs="Times New Roman" w:ascii="Times New Roman" w:hAnsi="Times New Roman"/>
          <w:bCs/>
          <w:sz w:val="28"/>
          <w:szCs w:val="28"/>
        </w:rPr>
        <w:t>- заключены трудовые договоры в соответствии с типовой формой, утвержденной постановлением Правительства Российской Федерации от 12.04.2013 №329 «О типовой форме трудового договора с руководителем государственного (муниципального) учреждения».</w:t>
      </w:r>
    </w:p>
    <w:p>
      <w:pPr>
        <w:pStyle w:val="Normal"/>
        <w:spacing w:lineRule="auto" w:line="240" w:before="0" w:after="0"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sub_101121"/>
      <w:r>
        <w:rPr>
          <w:rFonts w:eastAsia="Calibri" w:cs="Times New Roman" w:ascii="Times New Roman" w:hAnsi="Times New Roman"/>
          <w:sz w:val="28"/>
          <w:szCs w:val="28"/>
        </w:rPr>
        <w:t>Для формирования независимой оценки качества работы медицинских организаций принято постановление министерства здравоохранения Астраханской области «Об организации Общественного совета при министерстве здравоохранения Астраханской области» от 20.06.2013 № 62 П.</w:t>
      </w:r>
      <w:bookmarkEnd w:id="1"/>
      <w:r>
        <w:rPr>
          <w:rFonts w:cs="Times New Roman" w:ascii="Times New Roman" w:hAnsi="Times New Roman"/>
          <w:sz w:val="28"/>
          <w:szCs w:val="28"/>
        </w:rPr>
        <w:t xml:space="preserve"> </w:t>
      </w:r>
    </w:p>
    <w:p>
      <w:pPr>
        <w:pStyle w:val="Normal"/>
        <w:spacing w:lineRule="auto" w:line="240" w:before="0" w:after="0"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tabs>
          <w:tab w:val="right" w:pos="9498" w:leader="none"/>
        </w:tabs>
        <w:spacing w:lineRule="atLeast" w:line="240" w:before="0" w:after="0"/>
        <w:ind w:right="5245" w:hanging="0"/>
        <w:rPr/>
      </w:pPr>
      <w:r>
        <w:rPr>
          <w:rFonts w:cs="Times New Roman" w:ascii="Times New Roman" w:hAnsi="Times New Roman"/>
          <w:sz w:val="28"/>
          <w:szCs w:val="28"/>
        </w:rPr>
        <w:t xml:space="preserve">Начальник отдела экономического анализа, медицинского страхования и мониторинга ПГГ </w:t>
        <w:tab/>
        <w:t>И.Н. Калашникова</w:t>
      </w:r>
    </w:p>
    <w:sectPr>
      <w:type w:val="nextPage"/>
      <w:pgSz w:w="11906" w:h="16838"/>
      <w:pgMar w:left="1701" w:right="850" w:header="0" w:top="709" w:footer="0" w:bottom="1135" w:gutter="0"/>
      <w:pgNumType w:fmt="decimal"/>
      <w:formProt w:val="false"/>
      <w:textDirection w:val="lrTb"/>
      <w:docGrid w:type="default" w:linePitch="360" w:charSpace="4294965247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Tahoma"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Times New Roman">
    <w:charset w:val="01"/>
    <w:family w:val="roman"/>
    <w:pitch w:val="variable"/>
  </w:font>
  <w:font w:name="Times New Roman CYR">
    <w:charset w:val="01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decimal"/>
      <w:lvlText w:val="%1."/>
      <w:lvlJc w:val="left"/>
      <w:pPr>
        <w:ind w:left="1212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8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pacing w:lineRule="auto" w:line="276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ea15a0"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sz w:val="22"/>
      <w:szCs w:val="22"/>
      <w:lang w:val="ru-RU" w:eastAsia="en-US" w:bidi="ar-SA"/>
    </w:rPr>
  </w:style>
  <w:style w:type="paragraph" w:styleId="1">
    <w:name w:val="Заголовок 1"/>
    <w:basedOn w:val="Style12"/>
    <w:pPr/>
    <w:rPr/>
  </w:style>
  <w:style w:type="paragraph" w:styleId="2">
    <w:name w:val="Заголовок 2"/>
    <w:basedOn w:val="Style12"/>
    <w:pPr/>
    <w:rPr/>
  </w:style>
  <w:style w:type="paragraph" w:styleId="3">
    <w:name w:val="Заголовок 3"/>
    <w:basedOn w:val="Style12"/>
    <w:pPr/>
    <w:rPr/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1" w:customStyle="1">
    <w:name w:val="Текст выноски Знак"/>
    <w:basedOn w:val="DefaultParagraphFont"/>
    <w:link w:val="a4"/>
    <w:uiPriority w:val="99"/>
    <w:semiHidden/>
    <w:qFormat/>
    <w:rsid w:val="00483a6d"/>
    <w:rPr>
      <w:rFonts w:ascii="Tahoma" w:hAnsi="Tahoma" w:cs="Tahoma"/>
      <w:sz w:val="16"/>
      <w:szCs w:val="16"/>
    </w:rPr>
  </w:style>
  <w:style w:type="character" w:styleId="ListLabel1">
    <w:name w:val="ListLabel 1"/>
    <w:qFormat/>
    <w:rPr>
      <w:rFonts w:eastAsia="Calibri"/>
    </w:rPr>
  </w:style>
  <w:style w:type="character" w:styleId="ListLabel2">
    <w:name w:val="ListLabel 2"/>
    <w:qFormat/>
    <w:rPr>
      <w:rFonts w:eastAsia="Calibri" w:cs="Times New Roman"/>
    </w:rPr>
  </w:style>
  <w:style w:type="character" w:styleId="ListLabel3">
    <w:name w:val="ListLabel 3"/>
    <w:qFormat/>
    <w:rPr>
      <w:rFonts w:cs="Courier New"/>
    </w:rPr>
  </w:style>
  <w:style w:type="paragraph" w:styleId="Style12">
    <w:name w:val="Заголовок"/>
    <w:basedOn w:val="Normal"/>
    <w:next w:val="Style13"/>
    <w:qFormat/>
    <w:pPr>
      <w:keepNext/>
      <w:spacing w:before="240" w:after="120"/>
    </w:pPr>
    <w:rPr>
      <w:rFonts w:ascii="Liberation Sans" w:hAnsi="Liberation Sans" w:eastAsia="DejaVu Sans" w:cs="FreeSans"/>
      <w:sz w:val="28"/>
      <w:szCs w:val="28"/>
    </w:rPr>
  </w:style>
  <w:style w:type="paragraph" w:styleId="Style13">
    <w:name w:val="Основной текст"/>
    <w:basedOn w:val="Normal"/>
    <w:pPr>
      <w:spacing w:lineRule="auto" w:line="288" w:before="0" w:after="140"/>
    </w:pPr>
    <w:rPr/>
  </w:style>
  <w:style w:type="paragraph" w:styleId="Style14">
    <w:name w:val="Список"/>
    <w:basedOn w:val="Style13"/>
    <w:pPr/>
    <w:rPr>
      <w:rFonts w:cs="FreeSans"/>
    </w:rPr>
  </w:style>
  <w:style w:type="paragraph" w:styleId="Style15">
    <w:name w:val="Название"/>
    <w:basedOn w:val="Normal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Style16">
    <w:name w:val="Указатель"/>
    <w:basedOn w:val="Normal"/>
    <w:qFormat/>
    <w:pPr>
      <w:suppressLineNumbers/>
    </w:pPr>
    <w:rPr>
      <w:rFonts w:cs="FreeSans"/>
    </w:rPr>
  </w:style>
  <w:style w:type="paragraph" w:styleId="ListParagraph">
    <w:name w:val="List Paragraph"/>
    <w:basedOn w:val="Normal"/>
    <w:uiPriority w:val="34"/>
    <w:qFormat/>
    <w:rsid w:val="00bb0c65"/>
    <w:pPr>
      <w:spacing w:before="0" w:after="200"/>
      <w:ind w:left="720" w:hanging="0"/>
      <w:contextualSpacing/>
    </w:pPr>
    <w:rPr/>
  </w:style>
  <w:style w:type="paragraph" w:styleId="BalloonText">
    <w:name w:val="Balloon Text"/>
    <w:basedOn w:val="Normal"/>
    <w:link w:val="a5"/>
    <w:uiPriority w:val="99"/>
    <w:semiHidden/>
    <w:unhideWhenUsed/>
    <w:qFormat/>
    <w:rsid w:val="00483a6d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Style17">
    <w:name w:val="Блочная цитата"/>
    <w:basedOn w:val="Normal"/>
    <w:qFormat/>
    <w:pPr/>
    <w:rPr/>
  </w:style>
  <w:style w:type="paragraph" w:styleId="Style18">
    <w:name w:val="Заглавие"/>
    <w:basedOn w:val="Style12"/>
    <w:pPr/>
    <w:rPr/>
  </w:style>
  <w:style w:type="paragraph" w:styleId="Style19">
    <w:name w:val="Подзаголовок"/>
    <w:basedOn w:val="Style12"/>
    <w:pPr/>
    <w:rPr/>
  </w:style>
  <w:style w:type="numbering" w:styleId="NoList" w:default="1">
    <w:name w:val="No List"/>
    <w:uiPriority w:val="99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a6">
    <w:name w:val="Table Grid"/>
    <w:basedOn w:val="a1"/>
    <w:uiPriority w:val="59"/>
    <w:rsid w:val="00965043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8EAB80-80E5-4D60-8385-B877051601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Application>LibreOffice/4.4.5.2$Linux_X86_64 LibreOffice_project/a22f674fd25a3b6f45bdebf25400ed2adff0ff99</Application>
  <Paragraphs>65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2015-08-21T12:58:00Z</dcterms:created>
  <dc:creator>Мазур Олеся Алексеевна</dc:creator>
  <dc:language>ru-RU</dc:language>
  <cp:lastModifiedBy>Александр  Бойко</cp:lastModifiedBy>
  <cp:lastPrinted>2015-08-26T06:47:00Z</cp:lastPrinted>
  <dcterms:modified xsi:type="dcterms:W3CDTF">2015-08-26T14:57:55Z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