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71335" w:rsidRDefault="00ED7F17">
      <w:pPr>
        <w:contextualSpacing/>
        <w:jc w:val="center"/>
        <w:rPr>
          <w:sz w:val="28"/>
          <w:szCs w:val="28"/>
        </w:rPr>
      </w:pPr>
      <w:r>
        <w:rPr>
          <w:sz w:val="28"/>
          <w:szCs w:val="28"/>
        </w:rPr>
        <w:t>Пояснительная записка</w:t>
      </w:r>
    </w:p>
    <w:p w:rsidR="00171335" w:rsidRDefault="00ED7F17">
      <w:pPr>
        <w:contextualSpacing/>
        <w:jc w:val="center"/>
        <w:rPr>
          <w:sz w:val="28"/>
          <w:szCs w:val="28"/>
        </w:rPr>
      </w:pPr>
      <w:r>
        <w:rPr>
          <w:sz w:val="28"/>
          <w:szCs w:val="28"/>
        </w:rPr>
        <w:t>к проекту постановления Правительства Астраханской области</w:t>
      </w:r>
    </w:p>
    <w:p w:rsidR="00171335" w:rsidRDefault="00ED7F17">
      <w:pPr>
        <w:contextualSpacing/>
        <w:jc w:val="center"/>
      </w:pPr>
      <w:r>
        <w:rPr>
          <w:sz w:val="28"/>
          <w:szCs w:val="28"/>
        </w:rPr>
        <w:t>«О региональной программе «Борьба с сердечно-сосудистыми заболеваниями (Астраханская область)»</w:t>
      </w:r>
    </w:p>
    <w:p w:rsidR="00171335" w:rsidRDefault="00171335">
      <w:pPr>
        <w:contextualSpacing/>
        <w:rPr>
          <w:sz w:val="28"/>
          <w:szCs w:val="28"/>
        </w:rPr>
      </w:pPr>
    </w:p>
    <w:p w:rsidR="00171335" w:rsidRDefault="00ED7F17" w:rsidP="0091552F">
      <w:pPr>
        <w:suppressAutoHyphens w:val="0"/>
        <w:ind w:firstLine="709"/>
        <w:contextualSpacing/>
        <w:jc w:val="both"/>
      </w:pPr>
      <w:r>
        <w:rPr>
          <w:sz w:val="28"/>
          <w:szCs w:val="28"/>
        </w:rPr>
        <w:t xml:space="preserve">Проект постановления Правительства Астраханской области «О региональной программе «Борьба с сердечно-сосудистыми заболеваниями  (Астраханская область)» (далее – проект постановления) подготовлен министерством здравоохранения Астраханской области в соответствии </w:t>
      </w:r>
      <w:r>
        <w:rPr>
          <w:color w:val="000000"/>
          <w:sz w:val="28"/>
          <w:szCs w:val="28"/>
        </w:rPr>
        <w:t xml:space="preserve">с </w:t>
      </w:r>
      <w:hyperlink r:id="rId7">
        <w:r>
          <w:rPr>
            <w:rStyle w:val="ListLabel1"/>
            <w:color w:val="000000"/>
          </w:rPr>
          <w:t>Указом</w:t>
        </w:r>
      </w:hyperlink>
      <w:r>
        <w:rPr>
          <w:sz w:val="28"/>
          <w:szCs w:val="28"/>
        </w:rPr>
        <w:t xml:space="preserve"> Президента Российской Федерации от 15.05.2018 № 204 «О национальных целях и стратегических задачах развития Российской Федерации на период до 2024 года», паспортом национального проекта «Здравоохранение», утвержденного Президиумом Совета при Президенте Российской Федерации по стратегическому развитию и национальным проектам от 24.12.2018 №16, с учетом требований к региональной программе «Борьба с сердечно-сосудистыми заболеваниями», утвержденными заместителем Министра здравоохранения Российской Федерации 30.01.2019 года.</w:t>
      </w:r>
    </w:p>
    <w:p w:rsidR="00171335" w:rsidRDefault="00ED7F17" w:rsidP="0091552F">
      <w:pPr>
        <w:suppressAutoHyphens w:val="0"/>
        <w:ind w:firstLine="709"/>
        <w:contextualSpacing/>
        <w:jc w:val="both"/>
      </w:pPr>
      <w:r>
        <w:rPr>
          <w:sz w:val="28"/>
          <w:szCs w:val="28"/>
        </w:rPr>
        <w:t>В проекте постановления отражены мероприятия по реализации региональной программы ««Борьба с сердечно-сосудистыми заболеваниями (Астраханская область)» в рамках национального проекта «Здравоохранение».</w:t>
      </w:r>
    </w:p>
    <w:p w:rsidR="00171335" w:rsidRDefault="00ED7F17" w:rsidP="0091552F">
      <w:pPr>
        <w:suppressAutoHyphens w:val="0"/>
        <w:ind w:firstLine="709"/>
        <w:contextualSpacing/>
        <w:jc w:val="both"/>
        <w:rPr>
          <w:sz w:val="28"/>
          <w:szCs w:val="28"/>
        </w:rPr>
      </w:pPr>
      <w:r>
        <w:rPr>
          <w:sz w:val="28"/>
          <w:szCs w:val="28"/>
        </w:rPr>
        <w:t>В проекте постановления отсутствуют положения, вводящие избыточные обязанности, запреты и ограничения для субъектов предпринимательской и инвестиционной деятельности или способствующие их введению, а также положения, способствующие возникновению необоснованных расходов субъектов предпринимательской и инвестиционной деятельности и бюджета Астраханской области.</w:t>
      </w:r>
    </w:p>
    <w:p w:rsidR="00171335" w:rsidRDefault="00ED7F17" w:rsidP="0091552F">
      <w:pPr>
        <w:suppressAutoHyphens w:val="0"/>
        <w:ind w:firstLine="709"/>
        <w:contextualSpacing/>
        <w:jc w:val="both"/>
      </w:pPr>
      <w:r>
        <w:rPr>
          <w:sz w:val="28"/>
          <w:szCs w:val="28"/>
        </w:rPr>
        <w:t>Принятие постановления Правительства Астраханской области не потребует выделения дополнительных денежных средств из бюджета Астраханской области, а также внесения изменений в иные нормативные правовые акты Астраханской области, в том числе признания их утратившими силу.</w:t>
      </w:r>
    </w:p>
    <w:p w:rsidR="00171335" w:rsidRDefault="00ED7F17" w:rsidP="0091552F">
      <w:pPr>
        <w:suppressAutoHyphens w:val="0"/>
        <w:ind w:firstLine="709"/>
        <w:contextualSpacing/>
        <w:jc w:val="both"/>
        <w:rPr>
          <w:sz w:val="28"/>
          <w:szCs w:val="28"/>
        </w:rPr>
      </w:pPr>
      <w:r>
        <w:rPr>
          <w:sz w:val="28"/>
          <w:szCs w:val="28"/>
        </w:rPr>
        <w:t>Коррупциогенные факторы в проекте постановления отсутствуют.</w:t>
      </w:r>
    </w:p>
    <w:p w:rsidR="00171335" w:rsidRDefault="00ED7F17" w:rsidP="0091552F">
      <w:pPr>
        <w:suppressAutoHyphens w:val="0"/>
        <w:ind w:firstLine="709"/>
        <w:contextualSpacing/>
        <w:jc w:val="both"/>
        <w:rPr>
          <w:sz w:val="28"/>
          <w:szCs w:val="28"/>
        </w:rPr>
      </w:pPr>
      <w:r>
        <w:rPr>
          <w:sz w:val="28"/>
          <w:szCs w:val="28"/>
        </w:rPr>
        <w:t>В проекте постановления отсутствуют положения, способствующие возникновению рисков нарушения антимонопольного законодательства.</w:t>
      </w:r>
    </w:p>
    <w:p w:rsidR="00171335" w:rsidRDefault="00ED7F17" w:rsidP="0091552F">
      <w:pPr>
        <w:suppressAutoHyphens w:val="0"/>
        <w:ind w:firstLine="709"/>
        <w:contextualSpacing/>
        <w:jc w:val="both"/>
      </w:pPr>
      <w:r>
        <w:rPr>
          <w:sz w:val="28"/>
          <w:szCs w:val="28"/>
        </w:rPr>
        <w:t>Проект постановления размещен на официальном сайте министерства здравоохранения Астраханской области (http://www.minzdravao.ru) в информационно-телеком</w:t>
      </w:r>
      <w:r w:rsidR="0091552F">
        <w:rPr>
          <w:sz w:val="28"/>
          <w:szCs w:val="28"/>
        </w:rPr>
        <w:t>муникационной сети «Интернет» 05</w:t>
      </w:r>
      <w:r>
        <w:rPr>
          <w:sz w:val="28"/>
          <w:szCs w:val="28"/>
        </w:rPr>
        <w:t>.06.2019 в целях возможности проведения независимой антикоррупционной экспертизы.</w:t>
      </w:r>
    </w:p>
    <w:p w:rsidR="00171335" w:rsidRDefault="00171335">
      <w:pPr>
        <w:suppressAutoHyphens w:val="0"/>
        <w:ind w:firstLine="907"/>
        <w:contextualSpacing/>
        <w:jc w:val="both"/>
        <w:rPr>
          <w:sz w:val="28"/>
          <w:szCs w:val="28"/>
        </w:rPr>
      </w:pPr>
    </w:p>
    <w:p w:rsidR="00171335" w:rsidRDefault="00171335"/>
    <w:p w:rsidR="00171335" w:rsidRDefault="00171335"/>
    <w:p w:rsidR="00171335" w:rsidRDefault="00ED7F17">
      <w:pPr>
        <w:tabs>
          <w:tab w:val="left" w:pos="7350"/>
        </w:tabs>
        <w:rPr>
          <w:sz w:val="28"/>
          <w:szCs w:val="28"/>
        </w:rPr>
      </w:pPr>
      <w:r>
        <w:rPr>
          <w:sz w:val="28"/>
          <w:szCs w:val="28"/>
        </w:rPr>
        <w:t xml:space="preserve">И.о. министра здравоохранения </w:t>
      </w:r>
      <w:r>
        <w:rPr>
          <w:sz w:val="28"/>
          <w:szCs w:val="28"/>
        </w:rPr>
        <w:tab/>
        <w:t xml:space="preserve">    О.С. Гребнева</w:t>
      </w:r>
    </w:p>
    <w:p w:rsidR="00ED7F17" w:rsidRDefault="00ED7F17">
      <w:pPr>
        <w:rPr>
          <w:sz w:val="28"/>
          <w:szCs w:val="28"/>
        </w:rPr>
      </w:pPr>
      <w:r>
        <w:rPr>
          <w:sz w:val="28"/>
          <w:szCs w:val="28"/>
        </w:rPr>
        <w:t>Астраханской области</w:t>
      </w:r>
    </w:p>
    <w:p w:rsidR="00460D8B" w:rsidRDefault="00460D8B" w:rsidP="00460D8B">
      <w:pPr>
        <w:widowControl w:val="0"/>
        <w:suppressAutoHyphens w:val="0"/>
        <w:jc w:val="center"/>
        <w:rPr>
          <w:rFonts w:cs="Calibri"/>
          <w:color w:val="000000"/>
          <w:sz w:val="28"/>
          <w:szCs w:val="28"/>
          <w:lang w:eastAsia="en-US"/>
        </w:rPr>
      </w:pPr>
      <w:r>
        <w:rPr>
          <w:rFonts w:cs="Calibri"/>
          <w:color w:val="000000"/>
          <w:sz w:val="28"/>
          <w:szCs w:val="28"/>
          <w:lang w:eastAsia="en-US"/>
        </w:rPr>
        <w:t xml:space="preserve">                                                                </w:t>
      </w:r>
    </w:p>
    <w:p w:rsidR="00460D8B" w:rsidRDefault="00460D8B" w:rsidP="00460D8B">
      <w:pPr>
        <w:widowControl w:val="0"/>
        <w:suppressAutoHyphens w:val="0"/>
        <w:jc w:val="center"/>
        <w:rPr>
          <w:rFonts w:cs="Calibri"/>
          <w:color w:val="000000"/>
          <w:sz w:val="28"/>
          <w:szCs w:val="28"/>
          <w:lang w:eastAsia="en-US"/>
        </w:rPr>
      </w:pPr>
    </w:p>
    <w:p w:rsidR="00460D8B" w:rsidRDefault="00460D8B" w:rsidP="00460D8B">
      <w:pPr>
        <w:widowControl w:val="0"/>
        <w:suppressAutoHyphens w:val="0"/>
        <w:jc w:val="center"/>
        <w:rPr>
          <w:rFonts w:cs="Calibri"/>
          <w:color w:val="000000"/>
          <w:sz w:val="28"/>
          <w:szCs w:val="28"/>
          <w:lang w:eastAsia="en-US"/>
        </w:rPr>
      </w:pPr>
    </w:p>
    <w:p w:rsidR="00460D8B" w:rsidRDefault="00460D8B" w:rsidP="00460D8B">
      <w:pPr>
        <w:widowControl w:val="0"/>
        <w:suppressAutoHyphens w:val="0"/>
        <w:jc w:val="center"/>
        <w:rPr>
          <w:rFonts w:cs="Calibri"/>
          <w:color w:val="000000"/>
          <w:sz w:val="28"/>
          <w:szCs w:val="28"/>
          <w:lang w:eastAsia="en-US"/>
        </w:rPr>
      </w:pPr>
    </w:p>
    <w:p w:rsidR="00460D8B" w:rsidRDefault="00460D8B" w:rsidP="00460D8B">
      <w:pPr>
        <w:widowControl w:val="0"/>
        <w:suppressAutoHyphens w:val="0"/>
        <w:jc w:val="center"/>
        <w:rPr>
          <w:rFonts w:cs="Calibri"/>
          <w:color w:val="000000"/>
          <w:sz w:val="28"/>
          <w:szCs w:val="28"/>
          <w:lang w:eastAsia="en-US"/>
        </w:rPr>
      </w:pPr>
    </w:p>
    <w:p w:rsidR="00460D8B" w:rsidRDefault="00460D8B" w:rsidP="00460D8B">
      <w:pPr>
        <w:widowControl w:val="0"/>
        <w:suppressAutoHyphens w:val="0"/>
        <w:jc w:val="center"/>
        <w:rPr>
          <w:rFonts w:cs="Calibri"/>
          <w:color w:val="000000"/>
          <w:sz w:val="28"/>
          <w:szCs w:val="28"/>
          <w:lang w:eastAsia="en-US"/>
        </w:rPr>
      </w:pPr>
    </w:p>
    <w:p w:rsidR="00460D8B" w:rsidRDefault="00460D8B" w:rsidP="00460D8B">
      <w:pPr>
        <w:widowControl w:val="0"/>
        <w:suppressAutoHyphens w:val="0"/>
        <w:jc w:val="center"/>
        <w:rPr>
          <w:rFonts w:cs="Calibri"/>
          <w:color w:val="000000"/>
          <w:sz w:val="28"/>
          <w:szCs w:val="28"/>
          <w:lang w:eastAsia="en-US"/>
        </w:rPr>
      </w:pPr>
    </w:p>
    <w:p w:rsidR="00460D8B" w:rsidRDefault="00460D8B" w:rsidP="00460D8B">
      <w:pPr>
        <w:widowControl w:val="0"/>
        <w:suppressAutoHyphens w:val="0"/>
        <w:ind w:firstLine="540"/>
        <w:jc w:val="both"/>
        <w:rPr>
          <w:rFonts w:ascii="Calibri" w:hAnsi="Calibri" w:cs="Calibri"/>
          <w:color w:val="000000"/>
          <w:sz w:val="22"/>
          <w:szCs w:val="22"/>
          <w:lang w:eastAsia="en-US"/>
        </w:rPr>
      </w:pPr>
    </w:p>
    <w:p w:rsidR="00460D8B" w:rsidRDefault="00460D8B" w:rsidP="00460D8B">
      <w:pPr>
        <w:widowControl w:val="0"/>
        <w:suppressAutoHyphens w:val="0"/>
        <w:rPr>
          <w:color w:val="000000"/>
          <w:sz w:val="28"/>
          <w:szCs w:val="28"/>
          <w:lang w:eastAsia="en-US"/>
        </w:rPr>
      </w:pPr>
    </w:p>
    <w:p w:rsidR="00460D8B" w:rsidRDefault="00460D8B" w:rsidP="00460D8B">
      <w:pPr>
        <w:widowControl w:val="0"/>
        <w:tabs>
          <w:tab w:val="left" w:pos="4678"/>
        </w:tabs>
        <w:suppressAutoHyphens w:val="0"/>
        <w:ind w:left="851" w:right="5245"/>
        <w:contextualSpacing/>
        <w:jc w:val="both"/>
        <w:rPr>
          <w:sz w:val="28"/>
          <w:szCs w:val="28"/>
        </w:rPr>
      </w:pPr>
    </w:p>
    <w:p w:rsidR="00460D8B" w:rsidRDefault="00460D8B" w:rsidP="00460D8B">
      <w:pPr>
        <w:widowControl w:val="0"/>
        <w:tabs>
          <w:tab w:val="left" w:pos="4678"/>
        </w:tabs>
        <w:suppressAutoHyphens w:val="0"/>
        <w:ind w:left="851" w:right="5245"/>
        <w:contextualSpacing/>
        <w:jc w:val="both"/>
        <w:rPr>
          <w:sz w:val="28"/>
          <w:szCs w:val="28"/>
        </w:rPr>
      </w:pPr>
      <w:r>
        <w:rPr>
          <w:sz w:val="28"/>
          <w:szCs w:val="28"/>
        </w:rPr>
        <w:t>О региональной программе</w:t>
      </w:r>
    </w:p>
    <w:p w:rsidR="00460D8B" w:rsidRDefault="00460D8B" w:rsidP="00460D8B">
      <w:pPr>
        <w:widowControl w:val="0"/>
        <w:ind w:left="851"/>
        <w:contextualSpacing/>
        <w:jc w:val="both"/>
      </w:pPr>
      <w:r>
        <w:rPr>
          <w:sz w:val="28"/>
          <w:szCs w:val="28"/>
        </w:rPr>
        <w:t>«Борьба с сердечно-сосудистыми</w:t>
      </w:r>
    </w:p>
    <w:p w:rsidR="00460D8B" w:rsidRDefault="00460D8B" w:rsidP="00460D8B">
      <w:pPr>
        <w:widowControl w:val="0"/>
        <w:ind w:left="851"/>
        <w:contextualSpacing/>
        <w:jc w:val="both"/>
        <w:rPr>
          <w:sz w:val="28"/>
          <w:szCs w:val="28"/>
        </w:rPr>
      </w:pPr>
      <w:r>
        <w:rPr>
          <w:sz w:val="28"/>
          <w:szCs w:val="28"/>
        </w:rPr>
        <w:t>заболеваниями</w:t>
      </w:r>
    </w:p>
    <w:p w:rsidR="00460D8B" w:rsidRDefault="00460D8B" w:rsidP="00460D8B">
      <w:pPr>
        <w:widowControl w:val="0"/>
        <w:ind w:left="851"/>
        <w:contextualSpacing/>
        <w:jc w:val="both"/>
        <w:rPr>
          <w:sz w:val="28"/>
          <w:szCs w:val="28"/>
        </w:rPr>
      </w:pPr>
      <w:bookmarkStart w:id="0" w:name="__DdeLink__56044_83965571"/>
      <w:bookmarkEnd w:id="0"/>
      <w:r>
        <w:rPr>
          <w:sz w:val="28"/>
          <w:szCs w:val="28"/>
        </w:rPr>
        <w:t>(Астраханская область)»</w:t>
      </w:r>
    </w:p>
    <w:p w:rsidR="00460D8B" w:rsidRDefault="00460D8B" w:rsidP="00460D8B">
      <w:pPr>
        <w:widowControl w:val="0"/>
        <w:contextualSpacing/>
        <w:rPr>
          <w:sz w:val="28"/>
          <w:szCs w:val="28"/>
        </w:rPr>
      </w:pPr>
    </w:p>
    <w:p w:rsidR="00460D8B" w:rsidRDefault="00460D8B" w:rsidP="00460D8B">
      <w:pPr>
        <w:widowControl w:val="0"/>
        <w:contextualSpacing/>
        <w:rPr>
          <w:sz w:val="28"/>
          <w:szCs w:val="28"/>
        </w:rPr>
      </w:pPr>
    </w:p>
    <w:p w:rsidR="00460D8B" w:rsidRDefault="00460D8B" w:rsidP="00460D8B">
      <w:pPr>
        <w:widowControl w:val="0"/>
        <w:contextualSpacing/>
        <w:rPr>
          <w:color w:val="000000"/>
          <w:sz w:val="28"/>
          <w:szCs w:val="28"/>
        </w:rPr>
      </w:pPr>
    </w:p>
    <w:p w:rsidR="00460D8B" w:rsidRDefault="00460D8B" w:rsidP="00460D8B">
      <w:pPr>
        <w:suppressAutoHyphens w:val="0"/>
        <w:ind w:firstLine="709"/>
        <w:contextualSpacing/>
        <w:jc w:val="both"/>
      </w:pPr>
      <w:r>
        <w:rPr>
          <w:color w:val="000000"/>
          <w:sz w:val="28"/>
          <w:szCs w:val="28"/>
        </w:rPr>
        <w:t xml:space="preserve">В соответствии с </w:t>
      </w:r>
      <w:hyperlink r:id="rId8">
        <w:r>
          <w:rPr>
            <w:rStyle w:val="ListLabel1"/>
            <w:color w:val="000000"/>
          </w:rPr>
          <w:t>Указом</w:t>
        </w:r>
      </w:hyperlink>
      <w:r>
        <w:rPr>
          <w:color w:val="000000"/>
          <w:sz w:val="28"/>
          <w:szCs w:val="28"/>
        </w:rPr>
        <w:t xml:space="preserve"> Президента Российской Федерации от 15.05.2018 № 204 «О национальных целях и ст</w:t>
      </w:r>
      <w:r>
        <w:rPr>
          <w:sz w:val="28"/>
          <w:szCs w:val="28"/>
        </w:rPr>
        <w:t>ратегических задачах развития Российской Федерации на период до 2024 года», паспортом национального проекта «Здравоохранение», утвержденного Президиумом Совета при Президенте Российской Федерации по стратегическому развитию и национальным проектам от 24.12.2018 №16,</w:t>
      </w:r>
    </w:p>
    <w:p w:rsidR="00460D8B" w:rsidRDefault="00460D8B" w:rsidP="00460D8B">
      <w:pPr>
        <w:suppressAutoHyphens w:val="0"/>
        <w:contextualSpacing/>
        <w:jc w:val="both"/>
        <w:rPr>
          <w:sz w:val="28"/>
          <w:szCs w:val="28"/>
        </w:rPr>
      </w:pPr>
      <w:r>
        <w:rPr>
          <w:sz w:val="28"/>
          <w:szCs w:val="28"/>
        </w:rPr>
        <w:t>Правительство Астраханской области ПОСТАНОВЛЯЕТ:</w:t>
      </w:r>
    </w:p>
    <w:p w:rsidR="00460D8B" w:rsidRDefault="00460D8B" w:rsidP="00460D8B">
      <w:pPr>
        <w:suppressAutoHyphens w:val="0"/>
        <w:ind w:firstLine="709"/>
        <w:contextualSpacing/>
        <w:jc w:val="both"/>
        <w:rPr>
          <w:sz w:val="28"/>
          <w:szCs w:val="28"/>
        </w:rPr>
      </w:pPr>
      <w:r>
        <w:rPr>
          <w:sz w:val="28"/>
          <w:szCs w:val="28"/>
        </w:rPr>
        <w:t>1. Утвердить прилагаемую региональную программу «Борьба с сердечно-сосудистыми заболеваниями (Астраханская область)».</w:t>
      </w:r>
    </w:p>
    <w:p w:rsidR="00460D8B" w:rsidRDefault="00460D8B" w:rsidP="00460D8B">
      <w:pPr>
        <w:suppressAutoHyphens w:val="0"/>
        <w:ind w:firstLine="709"/>
        <w:contextualSpacing/>
        <w:jc w:val="both"/>
        <w:rPr>
          <w:sz w:val="28"/>
          <w:szCs w:val="28"/>
        </w:rPr>
      </w:pPr>
      <w:r>
        <w:rPr>
          <w:sz w:val="28"/>
          <w:szCs w:val="28"/>
        </w:rPr>
        <w:t>2. Агентству связи и массовых коммуникаций Астраханской области опубликовать настоящее постановление в средствах массовой информации.</w:t>
      </w:r>
    </w:p>
    <w:p w:rsidR="00460D8B" w:rsidRDefault="00460D8B" w:rsidP="00460D8B">
      <w:pPr>
        <w:suppressAutoHyphens w:val="0"/>
        <w:ind w:firstLine="709"/>
        <w:contextualSpacing/>
        <w:jc w:val="both"/>
        <w:rPr>
          <w:sz w:val="28"/>
          <w:szCs w:val="28"/>
        </w:rPr>
      </w:pPr>
      <w:r>
        <w:rPr>
          <w:sz w:val="28"/>
          <w:szCs w:val="28"/>
        </w:rPr>
        <w:t>3. Постановление вступает в силу со дня его официального опубликования.</w:t>
      </w:r>
    </w:p>
    <w:p w:rsidR="00460D8B" w:rsidRDefault="00460D8B" w:rsidP="00460D8B">
      <w:pPr>
        <w:suppressAutoHyphens w:val="0"/>
        <w:ind w:firstLine="709"/>
        <w:contextualSpacing/>
        <w:jc w:val="both"/>
      </w:pPr>
    </w:p>
    <w:p w:rsidR="00460D8B" w:rsidRDefault="00460D8B" w:rsidP="00460D8B">
      <w:pPr>
        <w:suppressAutoHyphens w:val="0"/>
        <w:ind w:firstLine="709"/>
        <w:contextualSpacing/>
        <w:jc w:val="both"/>
      </w:pPr>
    </w:p>
    <w:p w:rsidR="00460D8B" w:rsidRDefault="00460D8B" w:rsidP="00460D8B">
      <w:pPr>
        <w:suppressAutoHyphens w:val="0"/>
        <w:ind w:firstLine="709"/>
        <w:contextualSpacing/>
        <w:jc w:val="both"/>
      </w:pPr>
    </w:p>
    <w:p w:rsidR="00460D8B" w:rsidRDefault="00460D8B" w:rsidP="00460D8B">
      <w:pPr>
        <w:widowControl w:val="0"/>
        <w:tabs>
          <w:tab w:val="left" w:pos="4395"/>
        </w:tabs>
        <w:contextualSpacing/>
        <w:jc w:val="both"/>
        <w:rPr>
          <w:sz w:val="28"/>
          <w:szCs w:val="28"/>
        </w:rPr>
      </w:pPr>
      <w:r>
        <w:rPr>
          <w:sz w:val="28"/>
          <w:szCs w:val="28"/>
        </w:rPr>
        <w:t xml:space="preserve">Врио Губернатора </w:t>
      </w:r>
    </w:p>
    <w:p w:rsidR="00460D8B" w:rsidRDefault="00460D8B" w:rsidP="00460D8B">
      <w:pPr>
        <w:widowControl w:val="0"/>
        <w:tabs>
          <w:tab w:val="left" w:pos="4395"/>
        </w:tabs>
        <w:contextualSpacing/>
        <w:jc w:val="both"/>
        <w:rPr>
          <w:sz w:val="28"/>
          <w:szCs w:val="28"/>
        </w:rPr>
        <w:sectPr w:rsidR="00460D8B">
          <w:pgSz w:w="11906" w:h="16838"/>
          <w:pgMar w:top="1134" w:right="567" w:bottom="568" w:left="1701" w:header="0" w:footer="0" w:gutter="0"/>
          <w:pgNumType w:start="1"/>
          <w:cols w:space="720"/>
          <w:formProt w:val="0"/>
          <w:docGrid w:linePitch="381" w:charSpace="-6145"/>
        </w:sectPr>
      </w:pPr>
      <w:r>
        <w:rPr>
          <w:sz w:val="28"/>
          <w:szCs w:val="28"/>
        </w:rPr>
        <w:t>Астраханской области                                                                     И.Ю. Бабушкин</w:t>
      </w:r>
    </w:p>
    <w:p w:rsidR="00ED7F17" w:rsidRDefault="00ED7F17">
      <w:pPr>
        <w:suppressAutoHyphens w:val="0"/>
        <w:overflowPunct/>
        <w:rPr>
          <w:sz w:val="28"/>
          <w:szCs w:val="28"/>
        </w:rPr>
      </w:pPr>
    </w:p>
    <w:p w:rsidR="00ED7F17" w:rsidRDefault="00ED7F17" w:rsidP="00ED7F17">
      <w:pPr>
        <w:suppressAutoHyphens w:val="0"/>
        <w:jc w:val="center"/>
        <w:rPr>
          <w:b/>
          <w:color w:val="auto"/>
          <w:lang w:eastAsia="ru-RU"/>
        </w:rPr>
      </w:pPr>
    </w:p>
    <w:p w:rsidR="00ED7F17" w:rsidRDefault="00ED7F17" w:rsidP="00ED7F17">
      <w:pPr>
        <w:suppressAutoHyphens w:val="0"/>
        <w:jc w:val="center"/>
        <w:rPr>
          <w:b/>
          <w:color w:val="auto"/>
          <w:lang w:eastAsia="ru-RU"/>
        </w:rPr>
      </w:pPr>
    </w:p>
    <w:p w:rsidR="00ED7F17" w:rsidRDefault="00ED7F17" w:rsidP="00ED7F17">
      <w:pPr>
        <w:suppressAutoHyphens w:val="0"/>
        <w:jc w:val="center"/>
        <w:rPr>
          <w:b/>
          <w:color w:val="auto"/>
          <w:lang w:eastAsia="ru-RU"/>
        </w:rPr>
      </w:pPr>
    </w:p>
    <w:p w:rsidR="00ED7F17" w:rsidRDefault="00ED7F17" w:rsidP="00ED7F17">
      <w:pPr>
        <w:suppressAutoHyphens w:val="0"/>
        <w:jc w:val="center"/>
        <w:rPr>
          <w:b/>
          <w:color w:val="auto"/>
          <w:lang w:eastAsia="ru-RU"/>
        </w:rPr>
      </w:pPr>
    </w:p>
    <w:p w:rsidR="00ED7F17" w:rsidRDefault="00ED7F17" w:rsidP="00ED7F17">
      <w:pPr>
        <w:suppressAutoHyphens w:val="0"/>
        <w:jc w:val="center"/>
        <w:rPr>
          <w:b/>
          <w:color w:val="auto"/>
          <w:lang w:eastAsia="ru-RU"/>
        </w:rPr>
      </w:pPr>
    </w:p>
    <w:p w:rsidR="00ED7F17" w:rsidRDefault="00ED7F17" w:rsidP="00ED7F17">
      <w:pPr>
        <w:suppressAutoHyphens w:val="0"/>
        <w:jc w:val="center"/>
        <w:rPr>
          <w:b/>
          <w:color w:val="auto"/>
          <w:lang w:eastAsia="ru-RU"/>
        </w:rPr>
      </w:pPr>
    </w:p>
    <w:p w:rsidR="00ED7F17" w:rsidRDefault="00ED7F17" w:rsidP="00ED7F17">
      <w:pPr>
        <w:suppressAutoHyphens w:val="0"/>
        <w:jc w:val="center"/>
        <w:rPr>
          <w:b/>
          <w:color w:val="auto"/>
          <w:lang w:eastAsia="ru-RU"/>
        </w:rPr>
      </w:pPr>
    </w:p>
    <w:p w:rsidR="00ED7F17" w:rsidRDefault="00ED7F17" w:rsidP="00ED7F17">
      <w:pPr>
        <w:suppressAutoHyphens w:val="0"/>
        <w:jc w:val="center"/>
        <w:rPr>
          <w:b/>
          <w:color w:val="auto"/>
          <w:lang w:eastAsia="ru-RU"/>
        </w:rPr>
      </w:pPr>
    </w:p>
    <w:p w:rsidR="00ED7F17" w:rsidRDefault="00ED7F17" w:rsidP="00ED7F17">
      <w:pPr>
        <w:suppressAutoHyphens w:val="0"/>
        <w:jc w:val="center"/>
        <w:rPr>
          <w:b/>
          <w:color w:val="auto"/>
          <w:lang w:eastAsia="ru-RU"/>
        </w:rPr>
      </w:pPr>
    </w:p>
    <w:p w:rsidR="00ED7F17" w:rsidRDefault="00ED7F17" w:rsidP="00ED7F17">
      <w:pPr>
        <w:suppressAutoHyphens w:val="0"/>
        <w:jc w:val="center"/>
        <w:rPr>
          <w:b/>
          <w:color w:val="auto"/>
          <w:lang w:eastAsia="ru-RU"/>
        </w:rPr>
      </w:pPr>
    </w:p>
    <w:p w:rsidR="00ED7F17" w:rsidRDefault="00ED7F17" w:rsidP="00ED7F17">
      <w:pPr>
        <w:suppressAutoHyphens w:val="0"/>
        <w:jc w:val="center"/>
        <w:rPr>
          <w:b/>
          <w:color w:val="auto"/>
          <w:lang w:eastAsia="ru-RU"/>
        </w:rPr>
      </w:pPr>
    </w:p>
    <w:p w:rsidR="00ED7F17" w:rsidRDefault="00ED7F17" w:rsidP="00ED7F17">
      <w:pPr>
        <w:suppressAutoHyphens w:val="0"/>
        <w:jc w:val="center"/>
        <w:rPr>
          <w:b/>
          <w:color w:val="auto"/>
          <w:lang w:eastAsia="ru-RU"/>
        </w:rPr>
      </w:pPr>
    </w:p>
    <w:p w:rsidR="00ED7F17" w:rsidRDefault="00ED7F17" w:rsidP="00ED7F17">
      <w:pPr>
        <w:suppressAutoHyphens w:val="0"/>
        <w:jc w:val="center"/>
        <w:rPr>
          <w:b/>
          <w:color w:val="auto"/>
          <w:lang w:eastAsia="ru-RU"/>
        </w:rPr>
      </w:pPr>
    </w:p>
    <w:p w:rsidR="00ED7F17" w:rsidRDefault="00ED7F17" w:rsidP="00ED7F17">
      <w:pPr>
        <w:suppressAutoHyphens w:val="0"/>
        <w:jc w:val="center"/>
        <w:rPr>
          <w:b/>
          <w:color w:val="auto"/>
          <w:lang w:eastAsia="ru-RU"/>
        </w:rPr>
      </w:pPr>
    </w:p>
    <w:p w:rsidR="00ED7F17" w:rsidRDefault="00ED7F17" w:rsidP="00ED7F17">
      <w:pPr>
        <w:suppressAutoHyphens w:val="0"/>
        <w:jc w:val="center"/>
        <w:rPr>
          <w:b/>
          <w:color w:val="auto"/>
          <w:lang w:eastAsia="ru-RU"/>
        </w:rPr>
      </w:pPr>
    </w:p>
    <w:p w:rsidR="00ED7F17" w:rsidRDefault="00ED7F17" w:rsidP="00ED7F17">
      <w:pPr>
        <w:suppressAutoHyphens w:val="0"/>
        <w:spacing w:after="160" w:line="252" w:lineRule="auto"/>
        <w:jc w:val="center"/>
        <w:rPr>
          <w:rFonts w:ascii="Arial" w:hAnsi="Arial" w:cs="Arial"/>
          <w:sz w:val="22"/>
          <w:szCs w:val="22"/>
        </w:rPr>
      </w:pPr>
      <w:r>
        <w:rPr>
          <w:b/>
          <w:color w:val="auto"/>
          <w:lang w:eastAsia="ru-RU"/>
        </w:rPr>
        <w:t xml:space="preserve">Региональная программа </w:t>
      </w:r>
    </w:p>
    <w:p w:rsidR="00ED7F17" w:rsidRDefault="00ED7F17" w:rsidP="00ED7F17">
      <w:pPr>
        <w:suppressAutoHyphens w:val="0"/>
        <w:spacing w:after="160" w:line="252" w:lineRule="auto"/>
        <w:jc w:val="center"/>
      </w:pPr>
      <w:r>
        <w:rPr>
          <w:b/>
          <w:color w:val="auto"/>
          <w:lang w:eastAsia="ru-RU"/>
        </w:rPr>
        <w:t xml:space="preserve">«Борьба с сердечно - сосудистыми заболеваниями </w:t>
      </w:r>
      <w:r w:rsidRPr="00ED7F17">
        <w:rPr>
          <w:b/>
          <w:color w:val="auto"/>
          <w:lang w:eastAsia="ru-RU"/>
        </w:rPr>
        <w:t>(</w:t>
      </w:r>
      <w:r>
        <w:rPr>
          <w:b/>
          <w:color w:val="auto"/>
          <w:lang w:eastAsia="ru-RU"/>
        </w:rPr>
        <w:t>Астраханская область)»</w:t>
      </w:r>
    </w:p>
    <w:p w:rsidR="00ED7F17" w:rsidRDefault="00ED7F17" w:rsidP="00ED7F17">
      <w:pPr>
        <w:suppressAutoHyphens w:val="0"/>
        <w:spacing w:after="160" w:line="252" w:lineRule="auto"/>
        <w:jc w:val="center"/>
        <w:rPr>
          <w:b/>
          <w:color w:val="auto"/>
          <w:lang w:eastAsia="ru-RU"/>
        </w:rPr>
      </w:pPr>
    </w:p>
    <w:p w:rsidR="00ED7F17" w:rsidRDefault="00ED7F17" w:rsidP="00ED7F17">
      <w:pPr>
        <w:suppressAutoHyphens w:val="0"/>
        <w:jc w:val="center"/>
        <w:rPr>
          <w:b/>
          <w:color w:val="auto"/>
          <w:lang w:eastAsia="ru-RU"/>
        </w:rPr>
      </w:pPr>
    </w:p>
    <w:p w:rsidR="00ED7F17" w:rsidRDefault="00ED7F17" w:rsidP="00ED7F17">
      <w:pPr>
        <w:suppressAutoHyphens w:val="0"/>
        <w:jc w:val="center"/>
        <w:rPr>
          <w:b/>
          <w:color w:val="auto"/>
          <w:lang w:eastAsia="ru-RU"/>
        </w:rPr>
      </w:pPr>
    </w:p>
    <w:p w:rsidR="00ED7F17" w:rsidRDefault="00ED7F17" w:rsidP="00ED7F17">
      <w:pPr>
        <w:suppressAutoHyphens w:val="0"/>
        <w:jc w:val="center"/>
        <w:rPr>
          <w:b/>
          <w:color w:val="auto"/>
          <w:lang w:eastAsia="ru-RU"/>
        </w:rPr>
      </w:pPr>
    </w:p>
    <w:p w:rsidR="00ED7F17" w:rsidRDefault="00ED7F17" w:rsidP="00ED7F17">
      <w:pPr>
        <w:suppressAutoHyphens w:val="0"/>
        <w:jc w:val="center"/>
        <w:rPr>
          <w:b/>
          <w:color w:val="auto"/>
          <w:lang w:eastAsia="ru-RU"/>
        </w:rPr>
      </w:pPr>
    </w:p>
    <w:p w:rsidR="00ED7F17" w:rsidRDefault="00ED7F17" w:rsidP="00ED7F17">
      <w:pPr>
        <w:suppressAutoHyphens w:val="0"/>
        <w:jc w:val="center"/>
        <w:rPr>
          <w:b/>
          <w:color w:val="auto"/>
          <w:lang w:eastAsia="ru-RU"/>
        </w:rPr>
      </w:pPr>
    </w:p>
    <w:p w:rsidR="00ED7F17" w:rsidRDefault="00ED7F17" w:rsidP="00ED7F17">
      <w:pPr>
        <w:suppressAutoHyphens w:val="0"/>
        <w:jc w:val="center"/>
        <w:rPr>
          <w:b/>
          <w:color w:val="auto"/>
          <w:lang w:eastAsia="ru-RU"/>
        </w:rPr>
      </w:pPr>
    </w:p>
    <w:p w:rsidR="00ED7F17" w:rsidRDefault="00ED7F17" w:rsidP="00ED7F17">
      <w:pPr>
        <w:suppressAutoHyphens w:val="0"/>
        <w:jc w:val="center"/>
        <w:rPr>
          <w:b/>
          <w:color w:val="auto"/>
          <w:lang w:eastAsia="ru-RU"/>
        </w:rPr>
      </w:pPr>
    </w:p>
    <w:p w:rsidR="00ED7F17" w:rsidRDefault="00ED7F17" w:rsidP="00ED7F17">
      <w:pPr>
        <w:suppressAutoHyphens w:val="0"/>
        <w:jc w:val="center"/>
        <w:rPr>
          <w:b/>
          <w:color w:val="auto"/>
          <w:lang w:eastAsia="ru-RU"/>
        </w:rPr>
      </w:pPr>
    </w:p>
    <w:p w:rsidR="00ED7F17" w:rsidRDefault="00ED7F17" w:rsidP="00ED7F17">
      <w:pPr>
        <w:suppressAutoHyphens w:val="0"/>
        <w:jc w:val="center"/>
        <w:rPr>
          <w:b/>
          <w:color w:val="auto"/>
          <w:lang w:eastAsia="ru-RU"/>
        </w:rPr>
      </w:pPr>
    </w:p>
    <w:p w:rsidR="00ED7F17" w:rsidRDefault="00ED7F17" w:rsidP="00ED7F17">
      <w:pPr>
        <w:suppressAutoHyphens w:val="0"/>
        <w:jc w:val="center"/>
        <w:rPr>
          <w:b/>
          <w:color w:val="auto"/>
          <w:lang w:eastAsia="ru-RU"/>
        </w:rPr>
      </w:pPr>
    </w:p>
    <w:p w:rsidR="00ED7F17" w:rsidRDefault="00ED7F17" w:rsidP="00ED7F17">
      <w:pPr>
        <w:suppressAutoHyphens w:val="0"/>
        <w:jc w:val="center"/>
        <w:rPr>
          <w:b/>
          <w:color w:val="auto"/>
          <w:lang w:eastAsia="ru-RU"/>
        </w:rPr>
      </w:pPr>
    </w:p>
    <w:p w:rsidR="00ED7F17" w:rsidRDefault="00ED7F17" w:rsidP="00ED7F17">
      <w:pPr>
        <w:suppressAutoHyphens w:val="0"/>
        <w:jc w:val="center"/>
        <w:rPr>
          <w:b/>
          <w:color w:val="auto"/>
          <w:lang w:eastAsia="ru-RU"/>
        </w:rPr>
      </w:pPr>
    </w:p>
    <w:p w:rsidR="00ED7F17" w:rsidRDefault="00ED7F17" w:rsidP="00ED7F17">
      <w:pPr>
        <w:suppressAutoHyphens w:val="0"/>
        <w:jc w:val="center"/>
        <w:rPr>
          <w:b/>
          <w:color w:val="auto"/>
          <w:lang w:eastAsia="ru-RU"/>
        </w:rPr>
      </w:pPr>
    </w:p>
    <w:p w:rsidR="00ED7F17" w:rsidRDefault="00ED7F17" w:rsidP="00ED7F17">
      <w:pPr>
        <w:suppressAutoHyphens w:val="0"/>
        <w:jc w:val="center"/>
        <w:rPr>
          <w:b/>
          <w:color w:val="auto"/>
          <w:lang w:eastAsia="ru-RU"/>
        </w:rPr>
      </w:pPr>
    </w:p>
    <w:p w:rsidR="00ED7F17" w:rsidRDefault="00ED7F17" w:rsidP="00ED7F17">
      <w:pPr>
        <w:suppressAutoHyphens w:val="0"/>
        <w:jc w:val="center"/>
        <w:rPr>
          <w:b/>
          <w:color w:val="auto"/>
          <w:lang w:eastAsia="ru-RU"/>
        </w:rPr>
      </w:pPr>
    </w:p>
    <w:p w:rsidR="00ED7F17" w:rsidRDefault="00ED7F17" w:rsidP="00ED7F17">
      <w:pPr>
        <w:suppressAutoHyphens w:val="0"/>
        <w:jc w:val="center"/>
        <w:rPr>
          <w:b/>
          <w:color w:val="auto"/>
          <w:lang w:eastAsia="ru-RU"/>
        </w:rPr>
      </w:pPr>
    </w:p>
    <w:p w:rsidR="00ED7F17" w:rsidRDefault="00ED7F17" w:rsidP="00ED7F17">
      <w:pPr>
        <w:suppressAutoHyphens w:val="0"/>
        <w:jc w:val="center"/>
        <w:rPr>
          <w:b/>
          <w:color w:val="auto"/>
          <w:lang w:eastAsia="ru-RU"/>
        </w:rPr>
      </w:pPr>
    </w:p>
    <w:p w:rsidR="00ED7F17" w:rsidRDefault="00ED7F17" w:rsidP="00ED7F17">
      <w:pPr>
        <w:suppressAutoHyphens w:val="0"/>
        <w:jc w:val="center"/>
        <w:rPr>
          <w:b/>
          <w:color w:val="auto"/>
          <w:lang w:eastAsia="ru-RU"/>
        </w:rPr>
      </w:pPr>
    </w:p>
    <w:p w:rsidR="00ED7F17" w:rsidRDefault="00ED7F17" w:rsidP="00ED7F17">
      <w:pPr>
        <w:suppressAutoHyphens w:val="0"/>
        <w:jc w:val="center"/>
        <w:rPr>
          <w:b/>
          <w:color w:val="auto"/>
          <w:lang w:eastAsia="ru-RU"/>
        </w:rPr>
      </w:pPr>
    </w:p>
    <w:p w:rsidR="00ED7F17" w:rsidRDefault="00ED7F17" w:rsidP="00ED7F17">
      <w:pPr>
        <w:suppressAutoHyphens w:val="0"/>
        <w:jc w:val="center"/>
        <w:rPr>
          <w:rFonts w:ascii="Arial" w:hAnsi="Arial" w:cs="Arial"/>
          <w:sz w:val="22"/>
          <w:szCs w:val="22"/>
        </w:rPr>
      </w:pPr>
      <w:r>
        <w:rPr>
          <w:color w:val="auto"/>
          <w:lang w:eastAsia="ru-RU"/>
        </w:rPr>
        <w:t>Астрахань, 2019</w:t>
      </w:r>
    </w:p>
    <w:p w:rsidR="00ED7F17" w:rsidRDefault="00ED7F17" w:rsidP="00ED7F17">
      <w:pPr>
        <w:suppressAutoHyphens w:val="0"/>
        <w:jc w:val="center"/>
        <w:rPr>
          <w:b/>
          <w:color w:val="auto"/>
          <w:lang w:eastAsia="ru-RU"/>
        </w:rPr>
      </w:pPr>
    </w:p>
    <w:p w:rsidR="00ED7F17" w:rsidRDefault="00ED7F17" w:rsidP="00ED7F17">
      <w:pPr>
        <w:pageBreakBefore/>
        <w:suppressAutoHyphens w:val="0"/>
        <w:jc w:val="center"/>
        <w:rPr>
          <w:rFonts w:ascii="Arial" w:hAnsi="Arial" w:cs="Arial"/>
          <w:sz w:val="22"/>
          <w:szCs w:val="22"/>
        </w:rPr>
      </w:pPr>
      <w:r>
        <w:rPr>
          <w:sz w:val="28"/>
          <w:szCs w:val="28"/>
          <w:highlight w:val="white"/>
        </w:rPr>
        <w:lastRenderedPageBreak/>
        <w:t>Оглавление</w:t>
      </w:r>
    </w:p>
    <w:p w:rsidR="00ED7F17" w:rsidRDefault="00ED7F17" w:rsidP="00ED7F17">
      <w:pPr>
        <w:tabs>
          <w:tab w:val="left" w:pos="440"/>
          <w:tab w:val="right" w:leader="dot" w:pos="9350"/>
        </w:tabs>
        <w:suppressAutoHyphens w:val="0"/>
        <w:spacing w:before="120"/>
        <w:rPr>
          <w:b/>
          <w:bCs/>
          <w:i/>
          <w:color w:val="auto"/>
          <w:highlight w:val="white"/>
          <w:u w:val="single"/>
        </w:rPr>
      </w:pPr>
      <w:r>
        <w:fldChar w:fldCharType="begin"/>
      </w:r>
      <w:r>
        <w:instrText>TOC \o "1-3" \h \z \u</w:instrText>
      </w:r>
      <w:r>
        <w:fldChar w:fldCharType="separate"/>
      </w:r>
      <w:hyperlink r:id="rId9" w:anchor="__RefHeading___Toc3464363" w:history="1">
        <w:r>
          <w:rPr>
            <w:rStyle w:val="ac"/>
            <w:b/>
            <w:bCs/>
            <w:i/>
            <w:iCs/>
            <w:color w:val="auto"/>
            <w:highlight w:val="white"/>
          </w:rPr>
          <w:t>1.</w:t>
        </w:r>
        <w:r>
          <w:rPr>
            <w:rStyle w:val="ac"/>
            <w:color w:val="auto"/>
            <w:highlight w:val="white"/>
          </w:rPr>
          <w:tab/>
        </w:r>
        <w:r>
          <w:rPr>
            <w:rStyle w:val="ac"/>
            <w:b/>
            <w:bCs/>
            <w:i/>
            <w:iCs/>
            <w:color w:val="auto"/>
            <w:highlight w:val="white"/>
          </w:rPr>
          <w:t>Анализ текущего состояния оказания медицинской помощи больным с сердечно-сосудистыми заболеваниями в   области. Основные показатели оказания медицинской помощи больным с сердечно-сосудистыми заболеваниями в разрезе районов Астраханской области.</w:t>
        </w:r>
        <w:r>
          <w:rPr>
            <w:rStyle w:val="ac"/>
            <w:b/>
            <w:bCs/>
            <w:i/>
            <w:iCs/>
            <w:color w:val="auto"/>
            <w:highlight w:val="white"/>
          </w:rPr>
          <w:tab/>
          <w:t>3</w:t>
        </w:r>
      </w:hyperlink>
    </w:p>
    <w:p w:rsidR="00ED7F17" w:rsidRDefault="00ED7F17" w:rsidP="00ED7F17">
      <w:pPr>
        <w:tabs>
          <w:tab w:val="left" w:pos="880"/>
          <w:tab w:val="right" w:leader="dot" w:pos="9350"/>
        </w:tabs>
        <w:suppressAutoHyphens w:val="0"/>
        <w:spacing w:before="120"/>
        <w:rPr>
          <w:rFonts w:ascii="Arial" w:hAnsi="Arial" w:cs="Arial"/>
          <w:sz w:val="22"/>
          <w:szCs w:val="22"/>
        </w:rPr>
      </w:pPr>
      <w:r w:rsidRPr="0091552F">
        <w:rPr>
          <w:b/>
          <w:bCs/>
          <w:i/>
          <w:color w:val="auto"/>
          <w:highlight w:val="white"/>
        </w:rPr>
        <w:t>1.1.</w:t>
      </w:r>
      <w:r w:rsidRPr="0091552F">
        <w:rPr>
          <w:b/>
          <w:bCs/>
          <w:i/>
          <w:color w:val="auto"/>
          <w:highlight w:val="white"/>
        </w:rPr>
        <w:tab/>
        <w:t>Общие сведения о регионе</w:t>
      </w:r>
      <w:r>
        <w:rPr>
          <w:b/>
          <w:bCs/>
          <w:i/>
          <w:color w:val="auto"/>
          <w:highlight w:val="white"/>
        </w:rPr>
        <w:t xml:space="preserve">  </w:t>
      </w:r>
      <w:r w:rsidR="0091552F">
        <w:rPr>
          <w:b/>
          <w:bCs/>
          <w:i/>
          <w:color w:val="auto"/>
          <w:highlight w:val="white"/>
        </w:rPr>
        <w:t>…………………………………………………………..</w:t>
      </w:r>
      <w:r>
        <w:rPr>
          <w:b/>
          <w:bCs/>
          <w:i/>
          <w:color w:val="auto"/>
          <w:highlight w:val="white"/>
        </w:rPr>
        <w:t>3</w:t>
      </w:r>
    </w:p>
    <w:p w:rsidR="00ED7F17" w:rsidRDefault="00274256" w:rsidP="00ED7F17">
      <w:pPr>
        <w:tabs>
          <w:tab w:val="left" w:pos="880"/>
          <w:tab w:val="right" w:leader="dot" w:pos="9350"/>
        </w:tabs>
        <w:suppressAutoHyphens w:val="0"/>
        <w:spacing w:before="120"/>
      </w:pPr>
      <w:hyperlink r:id="rId10" w:anchor="__RefHeading___Toc3464365" w:history="1">
        <w:r w:rsidR="00ED7F17">
          <w:rPr>
            <w:rStyle w:val="ac"/>
            <w:b/>
            <w:bCs/>
            <w:i/>
            <w:color w:val="auto"/>
            <w:highlight w:val="white"/>
          </w:rPr>
          <w:t>1.2.</w:t>
        </w:r>
        <w:r w:rsidR="00ED7F17">
          <w:rPr>
            <w:rStyle w:val="ac"/>
            <w:color w:val="auto"/>
            <w:highlight w:val="white"/>
          </w:rPr>
          <w:tab/>
        </w:r>
        <w:r w:rsidR="00ED7F17">
          <w:rPr>
            <w:rStyle w:val="ac"/>
            <w:b/>
            <w:bCs/>
            <w:i/>
            <w:color w:val="auto"/>
            <w:highlight w:val="white"/>
          </w:rPr>
          <w:t>Анализ смертности от сердечно-сосудистых заболеваний</w:t>
        </w:r>
        <w:r w:rsidR="00ED7F17">
          <w:rPr>
            <w:rStyle w:val="ac"/>
            <w:b/>
            <w:bCs/>
            <w:color w:val="auto"/>
            <w:highlight w:val="white"/>
          </w:rPr>
          <w:tab/>
        </w:r>
      </w:hyperlink>
      <w:r w:rsidR="00ED7F17">
        <w:rPr>
          <w:b/>
          <w:bCs/>
          <w:color w:val="auto"/>
          <w:highlight w:val="white"/>
          <w:lang w:eastAsia="ru-RU"/>
        </w:rPr>
        <w:t>5</w:t>
      </w:r>
    </w:p>
    <w:p w:rsidR="00ED7F17" w:rsidRDefault="00274256" w:rsidP="0091552F">
      <w:pPr>
        <w:tabs>
          <w:tab w:val="left" w:pos="880"/>
          <w:tab w:val="right" w:leader="dot" w:pos="9350"/>
        </w:tabs>
        <w:suppressAutoHyphens w:val="0"/>
        <w:spacing w:before="120"/>
      </w:pPr>
      <w:hyperlink r:id="rId11" w:anchor="__RefHeading___Toc3464366" w:history="1">
        <w:r w:rsidR="00ED7F17" w:rsidRPr="0091552F">
          <w:rPr>
            <w:rStyle w:val="ac"/>
            <w:b/>
            <w:bCs/>
            <w:i/>
            <w:color w:val="auto"/>
            <w:sz w:val="22"/>
            <w:szCs w:val="22"/>
            <w:highlight w:val="white"/>
          </w:rPr>
          <w:t>1.3.</w:t>
        </w:r>
        <w:r w:rsidR="00ED7F17" w:rsidRPr="0091552F">
          <w:rPr>
            <w:rStyle w:val="ac"/>
            <w:color w:val="auto"/>
            <w:sz w:val="22"/>
            <w:szCs w:val="22"/>
            <w:highlight w:val="white"/>
          </w:rPr>
          <w:tab/>
        </w:r>
        <w:r w:rsidR="00ED7F17" w:rsidRPr="0091552F">
          <w:rPr>
            <w:rStyle w:val="ac"/>
            <w:b/>
            <w:bCs/>
            <w:i/>
            <w:color w:val="auto"/>
            <w:sz w:val="22"/>
            <w:szCs w:val="22"/>
            <w:highlight w:val="white"/>
          </w:rPr>
          <w:t>Заболеваемость болезнями системы кровообращения</w:t>
        </w:r>
      </w:hyperlink>
      <w:r w:rsidR="00ED7F17">
        <w:rPr>
          <w:b/>
          <w:bCs/>
          <w:color w:val="auto"/>
          <w:highlight w:val="white"/>
          <w:lang w:eastAsia="ru-RU"/>
        </w:rPr>
        <w:t xml:space="preserve">     </w:t>
      </w:r>
      <w:r w:rsidR="0091552F">
        <w:rPr>
          <w:b/>
          <w:bCs/>
          <w:color w:val="auto"/>
          <w:lang w:eastAsia="ru-RU"/>
        </w:rPr>
        <w:t xml:space="preserve">                                            14</w:t>
      </w:r>
    </w:p>
    <w:p w:rsidR="00ED7F17" w:rsidRDefault="00274256" w:rsidP="00ED7F17">
      <w:pPr>
        <w:tabs>
          <w:tab w:val="left" w:pos="880"/>
          <w:tab w:val="right" w:leader="dot" w:pos="9350"/>
        </w:tabs>
        <w:suppressAutoHyphens w:val="0"/>
        <w:spacing w:before="120"/>
      </w:pPr>
      <w:hyperlink r:id="rId12" w:anchor="__RefHeading___Toc3464367" w:history="1">
        <w:r w:rsidR="00ED7F17">
          <w:rPr>
            <w:rStyle w:val="ac"/>
            <w:b/>
            <w:bCs/>
            <w:i/>
            <w:color w:val="auto"/>
            <w:highlight w:val="white"/>
          </w:rPr>
          <w:t>1.4.</w:t>
        </w:r>
        <w:r w:rsidR="00ED7F17">
          <w:rPr>
            <w:rStyle w:val="ac"/>
            <w:color w:val="auto"/>
            <w:highlight w:val="white"/>
          </w:rPr>
          <w:tab/>
        </w:r>
        <w:r w:rsidR="00ED7F17">
          <w:rPr>
            <w:rStyle w:val="ac"/>
            <w:b/>
            <w:bCs/>
            <w:i/>
            <w:color w:val="auto"/>
            <w:highlight w:val="white"/>
          </w:rPr>
          <w:t>Ресурсы инфраструктуры службы</w:t>
        </w:r>
        <w:r w:rsidR="00ED7F17">
          <w:rPr>
            <w:rStyle w:val="ac"/>
            <w:b/>
            <w:bCs/>
            <w:color w:val="auto"/>
            <w:highlight w:val="white"/>
          </w:rPr>
          <w:tab/>
        </w:r>
      </w:hyperlink>
      <w:r w:rsidR="00ED7F17">
        <w:rPr>
          <w:b/>
          <w:bCs/>
          <w:color w:val="auto"/>
          <w:highlight w:val="white"/>
          <w:lang w:eastAsia="ru-RU"/>
        </w:rPr>
        <w:t>28</w:t>
      </w:r>
    </w:p>
    <w:p w:rsidR="00ED7F17" w:rsidRDefault="00274256" w:rsidP="00ED7F17">
      <w:pPr>
        <w:tabs>
          <w:tab w:val="right" w:leader="dot" w:pos="9350"/>
        </w:tabs>
        <w:suppressAutoHyphens w:val="0"/>
        <w:spacing w:before="120"/>
      </w:pPr>
      <w:hyperlink r:id="rId13" w:anchor="__RefHeading___Toc3464368" w:history="1">
        <w:r w:rsidR="00ED7F17">
          <w:rPr>
            <w:rStyle w:val="ac"/>
            <w:b/>
            <w:bCs/>
            <w:i/>
            <w:color w:val="auto"/>
            <w:highlight w:val="white"/>
          </w:rPr>
          <w:t>1.5. Кадровый состав учреждений.</w:t>
        </w:r>
        <w:r w:rsidR="00ED7F17">
          <w:rPr>
            <w:rStyle w:val="ac"/>
            <w:b/>
            <w:bCs/>
            <w:color w:val="auto"/>
            <w:highlight w:val="white"/>
          </w:rPr>
          <w:tab/>
        </w:r>
      </w:hyperlink>
      <w:r w:rsidR="00ED7F17">
        <w:rPr>
          <w:b/>
          <w:bCs/>
          <w:color w:val="auto"/>
          <w:highlight w:val="white"/>
          <w:lang w:eastAsia="ru-RU"/>
        </w:rPr>
        <w:t>50</w:t>
      </w:r>
    </w:p>
    <w:p w:rsidR="00ED7F17" w:rsidRDefault="00274256" w:rsidP="00ED7F17">
      <w:pPr>
        <w:tabs>
          <w:tab w:val="right" w:leader="dot" w:pos="9350"/>
        </w:tabs>
        <w:suppressAutoHyphens w:val="0"/>
        <w:spacing w:before="120"/>
      </w:pPr>
      <w:hyperlink r:id="rId14" w:anchor="__RefHeading___Toc3464369" w:history="1">
        <w:r w:rsidR="00ED7F17">
          <w:rPr>
            <w:rStyle w:val="ac"/>
            <w:b/>
            <w:bCs/>
            <w:i/>
            <w:color w:val="auto"/>
            <w:highlight w:val="white"/>
          </w:rPr>
          <w:t>1.6. Анализ деятельности каждой медицинской организации, участвующей в оказании стационарной помощи больным с ОНМК и/или ОКС, с оценкой необходимости оптимизации функционирования.</w:t>
        </w:r>
        <w:r w:rsidR="00ED7F17">
          <w:rPr>
            <w:rStyle w:val="ac"/>
            <w:b/>
            <w:bCs/>
            <w:color w:val="auto"/>
            <w:highlight w:val="white"/>
          </w:rPr>
          <w:tab/>
        </w:r>
      </w:hyperlink>
      <w:r w:rsidR="00ED7F17">
        <w:rPr>
          <w:b/>
          <w:bCs/>
          <w:color w:val="auto"/>
          <w:highlight w:val="white"/>
          <w:lang w:eastAsia="ru-RU"/>
        </w:rPr>
        <w:t>54</w:t>
      </w:r>
    </w:p>
    <w:p w:rsidR="00ED7F17" w:rsidRDefault="00274256" w:rsidP="00ED7F17">
      <w:pPr>
        <w:tabs>
          <w:tab w:val="right" w:leader="dot" w:pos="9350"/>
        </w:tabs>
        <w:suppressAutoHyphens w:val="0"/>
        <w:spacing w:before="120"/>
      </w:pPr>
      <w:hyperlink r:id="rId15" w:anchor="__RefHeading___Toc3464370" w:history="1">
        <w:r w:rsidR="00ED7F17">
          <w:rPr>
            <w:rStyle w:val="ac"/>
            <w:b/>
            <w:bCs/>
            <w:i/>
            <w:color w:val="auto"/>
            <w:highlight w:val="white"/>
          </w:rPr>
          <w:t>1.7. Региональные документы, регламентирующие оказание помощи при болезнях системы кровообращения (БСК)</w:t>
        </w:r>
        <w:r w:rsidR="00ED7F17">
          <w:rPr>
            <w:rStyle w:val="ac"/>
            <w:b/>
            <w:bCs/>
            <w:color w:val="auto"/>
            <w:highlight w:val="white"/>
          </w:rPr>
          <w:tab/>
        </w:r>
      </w:hyperlink>
      <w:r w:rsidR="00ED7F17">
        <w:rPr>
          <w:b/>
          <w:bCs/>
          <w:color w:val="auto"/>
          <w:highlight w:val="white"/>
          <w:lang w:eastAsia="ru-RU"/>
        </w:rPr>
        <w:t>61</w:t>
      </w:r>
    </w:p>
    <w:p w:rsidR="00ED7F17" w:rsidRDefault="00274256" w:rsidP="00ED7F17">
      <w:pPr>
        <w:tabs>
          <w:tab w:val="left" w:pos="880"/>
          <w:tab w:val="right" w:leader="dot" w:pos="9350"/>
        </w:tabs>
        <w:suppressAutoHyphens w:val="0"/>
        <w:spacing w:before="120"/>
      </w:pPr>
      <w:hyperlink r:id="rId16" w:anchor="__RefHeading___Toc3464371" w:history="1">
        <w:r w:rsidR="00ED7F17">
          <w:rPr>
            <w:rStyle w:val="ac"/>
            <w:b/>
            <w:bCs/>
            <w:i/>
            <w:color w:val="auto"/>
            <w:highlight w:val="white"/>
          </w:rPr>
          <w:t>1.8.</w:t>
        </w:r>
        <w:r w:rsidR="00ED7F17">
          <w:rPr>
            <w:rStyle w:val="ac"/>
            <w:color w:val="auto"/>
            <w:highlight w:val="white"/>
          </w:rPr>
          <w:tab/>
        </w:r>
        <w:r w:rsidR="00ED7F17">
          <w:rPr>
            <w:rStyle w:val="ac"/>
            <w:b/>
            <w:bCs/>
            <w:i/>
            <w:color w:val="auto"/>
            <w:highlight w:val="white"/>
          </w:rPr>
          <w:t>Показатели деятельности связанной с оказанием медицинской помощи больным с сердечно-сосудистыми заболеваниями в субъекте (профилактика, раннее выявление, диагностика и лечение сердечно-сосудистых заболеваний, реабилитация.</w:t>
        </w:r>
        <w:r w:rsidR="00ED7F17">
          <w:rPr>
            <w:rStyle w:val="ac"/>
            <w:b/>
            <w:bCs/>
            <w:color w:val="auto"/>
            <w:highlight w:val="white"/>
          </w:rPr>
          <w:tab/>
        </w:r>
      </w:hyperlink>
      <w:r w:rsidR="00ED7F17">
        <w:rPr>
          <w:b/>
          <w:bCs/>
          <w:color w:val="auto"/>
          <w:highlight w:val="white"/>
          <w:lang w:eastAsia="ru-RU"/>
        </w:rPr>
        <w:t>63</w:t>
      </w:r>
    </w:p>
    <w:p w:rsidR="00ED7F17" w:rsidRDefault="00274256" w:rsidP="00ED7F17">
      <w:pPr>
        <w:tabs>
          <w:tab w:val="left" w:pos="880"/>
          <w:tab w:val="right" w:leader="dot" w:pos="9350"/>
        </w:tabs>
        <w:suppressAutoHyphens w:val="0"/>
        <w:spacing w:before="120"/>
      </w:pPr>
      <w:hyperlink r:id="rId17" w:anchor="__RefHeading___Toc3464372" w:history="1">
        <w:r w:rsidR="00ED7F17">
          <w:rPr>
            <w:rStyle w:val="ac"/>
            <w:b/>
            <w:bCs/>
            <w:i/>
            <w:color w:val="auto"/>
            <w:highlight w:val="white"/>
          </w:rPr>
          <w:t>1.9.</w:t>
        </w:r>
        <w:r w:rsidR="00ED7F17">
          <w:rPr>
            <w:rStyle w:val="ac"/>
            <w:color w:val="auto"/>
            <w:highlight w:val="white"/>
          </w:rPr>
          <w:tab/>
        </w:r>
        <w:r w:rsidR="00ED7F17">
          <w:rPr>
            <w:rStyle w:val="ac"/>
            <w:b/>
            <w:bCs/>
            <w:i/>
            <w:color w:val="auto"/>
            <w:highlight w:val="white"/>
          </w:rPr>
          <w:t>Анализ проведенных мероприятий по снижению влияния факторов риска развития-сердечно-сосудистых заболеваний</w:t>
        </w:r>
        <w:r w:rsidR="00ED7F17">
          <w:rPr>
            <w:rStyle w:val="ac"/>
            <w:b/>
            <w:bCs/>
            <w:color w:val="auto"/>
            <w:highlight w:val="white"/>
          </w:rPr>
          <w:tab/>
        </w:r>
      </w:hyperlink>
      <w:r w:rsidR="00ED7F17">
        <w:rPr>
          <w:b/>
          <w:bCs/>
          <w:color w:val="auto"/>
          <w:highlight w:val="white"/>
          <w:lang w:eastAsia="ru-RU"/>
        </w:rPr>
        <w:t>72</w:t>
      </w:r>
    </w:p>
    <w:p w:rsidR="00ED7F17" w:rsidRDefault="00274256" w:rsidP="00ED7F17">
      <w:pPr>
        <w:tabs>
          <w:tab w:val="left" w:pos="880"/>
          <w:tab w:val="right" w:leader="dot" w:pos="9350"/>
        </w:tabs>
        <w:suppressAutoHyphens w:val="0"/>
        <w:spacing w:before="120"/>
      </w:pPr>
      <w:hyperlink r:id="rId18" w:anchor="__RefHeading___Toc3464373" w:history="1">
        <w:r w:rsidR="00ED7F17">
          <w:rPr>
            <w:rStyle w:val="ac"/>
            <w:b/>
            <w:bCs/>
            <w:i/>
            <w:color w:val="auto"/>
            <w:highlight w:val="white"/>
          </w:rPr>
          <w:t>1.10.</w:t>
        </w:r>
        <w:r w:rsidR="00ED7F17">
          <w:rPr>
            <w:rStyle w:val="ac"/>
            <w:color w:val="auto"/>
            <w:highlight w:val="white"/>
          </w:rPr>
          <w:tab/>
        </w:r>
        <w:r w:rsidR="00ED7F17">
          <w:rPr>
            <w:rStyle w:val="ac"/>
            <w:b/>
            <w:bCs/>
            <w:i/>
            <w:color w:val="auto"/>
            <w:highlight w:val="white"/>
          </w:rPr>
          <w:t>Выводы</w:t>
        </w:r>
        <w:r w:rsidR="00ED7F17">
          <w:rPr>
            <w:rStyle w:val="ac"/>
            <w:b/>
            <w:bCs/>
            <w:color w:val="auto"/>
            <w:highlight w:val="white"/>
          </w:rPr>
          <w:tab/>
          <w:t>77</w:t>
        </w:r>
      </w:hyperlink>
    </w:p>
    <w:p w:rsidR="00ED7F17" w:rsidRDefault="00274256" w:rsidP="00ED7F17">
      <w:pPr>
        <w:tabs>
          <w:tab w:val="left" w:pos="660"/>
          <w:tab w:val="right" w:leader="dot" w:pos="9350"/>
        </w:tabs>
        <w:suppressAutoHyphens w:val="0"/>
        <w:spacing w:before="120"/>
      </w:pPr>
      <w:hyperlink r:id="rId19" w:anchor="__RefHeading___Toc3464374" w:history="1">
        <w:r w:rsidR="00ED7F17">
          <w:rPr>
            <w:rStyle w:val="ac"/>
            <w:b/>
            <w:bCs/>
            <w:i/>
            <w:iCs/>
            <w:color w:val="auto"/>
            <w:highlight w:val="white"/>
          </w:rPr>
          <w:t xml:space="preserve">2. </w:t>
        </w:r>
        <w:r w:rsidR="00ED7F17">
          <w:rPr>
            <w:rStyle w:val="ac"/>
            <w:color w:val="auto"/>
            <w:highlight w:val="white"/>
          </w:rPr>
          <w:tab/>
        </w:r>
        <w:r w:rsidR="00ED7F17">
          <w:rPr>
            <w:rStyle w:val="ac"/>
            <w:b/>
            <w:bCs/>
            <w:i/>
            <w:iCs/>
            <w:color w:val="auto"/>
            <w:highlight w:val="white"/>
          </w:rPr>
          <w:t>Цель, показатели и сроки реализации региональной программы по борьбе с сердечно-сосудистыми заболеваниями</w:t>
        </w:r>
        <w:r w:rsidR="00ED7F17">
          <w:rPr>
            <w:rStyle w:val="ac"/>
            <w:b/>
            <w:bCs/>
            <w:i/>
            <w:iCs/>
            <w:color w:val="auto"/>
            <w:highlight w:val="white"/>
          </w:rPr>
          <w:tab/>
        </w:r>
      </w:hyperlink>
      <w:r w:rsidR="00ED7F17">
        <w:rPr>
          <w:b/>
          <w:bCs/>
          <w:i/>
          <w:iCs/>
          <w:color w:val="auto"/>
          <w:highlight w:val="white"/>
          <w:lang w:eastAsia="ru-RU"/>
        </w:rPr>
        <w:t>78</w:t>
      </w:r>
    </w:p>
    <w:p w:rsidR="00ED7F17" w:rsidRDefault="00274256" w:rsidP="00ED7F17">
      <w:pPr>
        <w:tabs>
          <w:tab w:val="left" w:pos="660"/>
          <w:tab w:val="right" w:leader="dot" w:pos="9350"/>
        </w:tabs>
        <w:suppressAutoHyphens w:val="0"/>
        <w:spacing w:before="120"/>
      </w:pPr>
      <w:hyperlink r:id="rId20" w:anchor="__RefHeading___Toc3464375" w:history="1">
        <w:r w:rsidR="00ED7F17">
          <w:rPr>
            <w:rStyle w:val="ac"/>
            <w:b/>
            <w:bCs/>
            <w:i/>
            <w:iCs/>
            <w:color w:val="auto"/>
            <w:highlight w:val="white"/>
          </w:rPr>
          <w:t xml:space="preserve">3. </w:t>
        </w:r>
        <w:r w:rsidR="00ED7F17">
          <w:rPr>
            <w:rStyle w:val="ac"/>
            <w:color w:val="auto"/>
            <w:highlight w:val="white"/>
          </w:rPr>
          <w:tab/>
        </w:r>
        <w:r w:rsidR="00ED7F17">
          <w:rPr>
            <w:rStyle w:val="ac"/>
            <w:b/>
            <w:bCs/>
            <w:i/>
            <w:iCs/>
            <w:color w:val="auto"/>
            <w:highlight w:val="white"/>
          </w:rPr>
          <w:t>Задачи региональной программы</w:t>
        </w:r>
        <w:r w:rsidR="00ED7F17">
          <w:rPr>
            <w:rStyle w:val="ac"/>
            <w:b/>
            <w:bCs/>
            <w:i/>
            <w:iCs/>
            <w:color w:val="auto"/>
            <w:highlight w:val="white"/>
          </w:rPr>
          <w:tab/>
          <w:t>79</w:t>
        </w:r>
      </w:hyperlink>
    </w:p>
    <w:p w:rsidR="00ED7F17" w:rsidRDefault="00274256" w:rsidP="00ED7F17">
      <w:pPr>
        <w:tabs>
          <w:tab w:val="left" w:pos="660"/>
          <w:tab w:val="right" w:leader="dot" w:pos="9350"/>
        </w:tabs>
        <w:suppressAutoHyphens w:val="0"/>
        <w:spacing w:before="120"/>
      </w:pPr>
      <w:hyperlink r:id="rId21" w:anchor="__RefHeading___Toc3464376" w:history="1">
        <w:r w:rsidR="00ED7F17">
          <w:rPr>
            <w:rStyle w:val="ac"/>
            <w:b/>
            <w:bCs/>
            <w:i/>
            <w:iCs/>
            <w:color w:val="auto"/>
            <w:highlight w:val="white"/>
          </w:rPr>
          <w:t xml:space="preserve">4. </w:t>
        </w:r>
        <w:r w:rsidR="00ED7F17">
          <w:rPr>
            <w:rStyle w:val="ac"/>
            <w:color w:val="auto"/>
            <w:highlight w:val="white"/>
          </w:rPr>
          <w:tab/>
        </w:r>
        <w:r w:rsidR="00ED7F17">
          <w:rPr>
            <w:rStyle w:val="ac"/>
            <w:b/>
            <w:bCs/>
            <w:i/>
            <w:iCs/>
            <w:color w:val="auto"/>
            <w:highlight w:val="white"/>
          </w:rPr>
          <w:t>План мероприятий региональной программы «Борьба с сердечно-сосудистыми заболеваниями» (приложение на 53 листах)</w:t>
        </w:r>
      </w:hyperlink>
    </w:p>
    <w:p w:rsidR="00ED7F17" w:rsidRDefault="00274256" w:rsidP="00ED7F17">
      <w:pPr>
        <w:tabs>
          <w:tab w:val="right" w:leader="dot" w:pos="9350"/>
        </w:tabs>
        <w:suppressAutoHyphens w:val="0"/>
        <w:spacing w:before="120"/>
      </w:pPr>
      <w:hyperlink r:id="rId22" w:anchor="__RefHeading___Toc3464388" w:history="1">
        <w:r w:rsidR="00ED7F17">
          <w:rPr>
            <w:rStyle w:val="ac"/>
            <w:b/>
            <w:bCs/>
            <w:i/>
            <w:iCs/>
            <w:color w:val="auto"/>
            <w:highlight w:val="white"/>
          </w:rPr>
          <w:t>5. Ожидаемые результаты региональной программы.</w:t>
        </w:r>
        <w:r w:rsidR="00ED7F17">
          <w:rPr>
            <w:rStyle w:val="ac"/>
            <w:b/>
            <w:bCs/>
            <w:i/>
            <w:iCs/>
            <w:color w:val="auto"/>
            <w:highlight w:val="white"/>
          </w:rPr>
          <w:tab/>
        </w:r>
      </w:hyperlink>
      <w:r w:rsidR="00ED7F17">
        <w:rPr>
          <w:b/>
          <w:bCs/>
          <w:i/>
          <w:iCs/>
          <w:color w:val="auto"/>
          <w:highlight w:val="white"/>
        </w:rPr>
        <w:t>8</w:t>
      </w:r>
      <w:r w:rsidR="00ED7F17">
        <w:rPr>
          <w:b/>
          <w:bCs/>
          <w:i/>
          <w:iCs/>
          <w:color w:val="auto"/>
          <w:highlight w:val="white"/>
          <w:lang w:eastAsia="ru-RU"/>
        </w:rPr>
        <w:t>1</w:t>
      </w:r>
      <w:r w:rsidR="00ED7F17">
        <w:fldChar w:fldCharType="end"/>
      </w:r>
    </w:p>
    <w:p w:rsidR="00ED7F17" w:rsidRDefault="00ED7F17" w:rsidP="00ED7F17">
      <w:pPr>
        <w:tabs>
          <w:tab w:val="right" w:leader="dot" w:pos="9350"/>
        </w:tabs>
        <w:suppressAutoHyphens w:val="0"/>
        <w:spacing w:before="120"/>
        <w:jc w:val="both"/>
        <w:rPr>
          <w:b/>
          <w:bCs/>
          <w:i/>
          <w:iCs/>
          <w:color w:val="auto"/>
          <w:highlight w:val="white"/>
        </w:rPr>
      </w:pPr>
    </w:p>
    <w:p w:rsidR="00ED7F17" w:rsidRDefault="00ED7F17" w:rsidP="00ED7F17">
      <w:pPr>
        <w:suppressAutoHyphens w:val="0"/>
        <w:jc w:val="both"/>
        <w:rPr>
          <w:b/>
          <w:bCs/>
          <w:i/>
          <w:iCs/>
          <w:color w:val="auto"/>
          <w:sz w:val="28"/>
          <w:szCs w:val="28"/>
          <w:highlight w:val="white"/>
        </w:rPr>
      </w:pPr>
    </w:p>
    <w:p w:rsidR="00ED7F17" w:rsidRDefault="00ED7F17" w:rsidP="00ED7F17">
      <w:pPr>
        <w:suppressAutoHyphens w:val="0"/>
        <w:jc w:val="both"/>
        <w:rPr>
          <w:b/>
          <w:bCs/>
          <w:color w:val="auto"/>
          <w:sz w:val="28"/>
          <w:szCs w:val="28"/>
          <w:highlight w:val="white"/>
        </w:rPr>
      </w:pPr>
    </w:p>
    <w:p w:rsidR="00ED7F17" w:rsidRDefault="00ED7F17" w:rsidP="00ED7F17">
      <w:pPr>
        <w:suppressAutoHyphens w:val="0"/>
        <w:jc w:val="both"/>
        <w:rPr>
          <w:rFonts w:eastAsia="Arial"/>
          <w:b/>
          <w:bCs/>
          <w:color w:val="auto"/>
          <w:sz w:val="28"/>
          <w:szCs w:val="28"/>
          <w:highlight w:val="white"/>
        </w:rPr>
      </w:pPr>
    </w:p>
    <w:p w:rsidR="00ED7F17" w:rsidRDefault="00ED7F17" w:rsidP="00ED7F17">
      <w:pPr>
        <w:suppressAutoHyphens w:val="0"/>
        <w:jc w:val="both"/>
        <w:rPr>
          <w:b/>
          <w:bCs/>
          <w:color w:val="auto"/>
          <w:sz w:val="28"/>
          <w:szCs w:val="28"/>
          <w:highlight w:val="white"/>
        </w:rPr>
      </w:pPr>
    </w:p>
    <w:p w:rsidR="00ED7F17" w:rsidRDefault="00ED7F17" w:rsidP="00ED7F17">
      <w:pPr>
        <w:suppressAutoHyphens w:val="0"/>
        <w:jc w:val="both"/>
        <w:rPr>
          <w:b/>
          <w:bCs/>
          <w:color w:val="auto"/>
          <w:sz w:val="28"/>
          <w:szCs w:val="28"/>
          <w:highlight w:val="white"/>
        </w:rPr>
      </w:pPr>
    </w:p>
    <w:p w:rsidR="00ED7F17" w:rsidRDefault="00ED7F17" w:rsidP="00ED7F17">
      <w:pPr>
        <w:suppressAutoHyphens w:val="0"/>
        <w:jc w:val="both"/>
        <w:rPr>
          <w:b/>
          <w:bCs/>
          <w:color w:val="auto"/>
          <w:sz w:val="28"/>
          <w:szCs w:val="28"/>
          <w:highlight w:val="white"/>
        </w:rPr>
      </w:pPr>
    </w:p>
    <w:p w:rsidR="00ED7F17" w:rsidRDefault="00ED7F17" w:rsidP="00ED7F17">
      <w:pPr>
        <w:suppressAutoHyphens w:val="0"/>
        <w:jc w:val="both"/>
        <w:rPr>
          <w:b/>
          <w:bCs/>
          <w:color w:val="auto"/>
          <w:sz w:val="28"/>
          <w:szCs w:val="28"/>
          <w:highlight w:val="white"/>
        </w:rPr>
      </w:pPr>
    </w:p>
    <w:p w:rsidR="00ED7F17" w:rsidRDefault="00ED7F17" w:rsidP="00ED7F17">
      <w:pPr>
        <w:suppressAutoHyphens w:val="0"/>
        <w:jc w:val="both"/>
        <w:rPr>
          <w:b/>
          <w:bCs/>
          <w:color w:val="auto"/>
          <w:sz w:val="28"/>
          <w:szCs w:val="28"/>
          <w:highlight w:val="white"/>
        </w:rPr>
      </w:pPr>
    </w:p>
    <w:p w:rsidR="00460D8B" w:rsidRDefault="00460D8B">
      <w:pPr>
        <w:suppressAutoHyphens w:val="0"/>
        <w:overflowPunct/>
        <w:rPr>
          <w:b/>
          <w:color w:val="000000"/>
          <w:highlight w:val="white"/>
          <w:lang w:bidi="ru-RU"/>
        </w:rPr>
      </w:pPr>
      <w:r>
        <w:rPr>
          <w:b/>
          <w:color w:val="000000"/>
          <w:highlight w:val="white"/>
          <w:lang w:bidi="ru-RU"/>
        </w:rPr>
        <w:br w:type="page"/>
      </w:r>
    </w:p>
    <w:p w:rsidR="00ED7F17" w:rsidRDefault="00ED7F17" w:rsidP="00ED7F17">
      <w:pPr>
        <w:ind w:firstLine="708"/>
        <w:jc w:val="both"/>
        <w:rPr>
          <w:rFonts w:ascii="Arial" w:hAnsi="Arial" w:cs="Arial"/>
          <w:sz w:val="22"/>
          <w:szCs w:val="22"/>
        </w:rPr>
      </w:pPr>
      <w:r>
        <w:rPr>
          <w:b/>
          <w:color w:val="000000"/>
          <w:highlight w:val="white"/>
          <w:lang w:bidi="ru-RU"/>
        </w:rPr>
        <w:lastRenderedPageBreak/>
        <w:t>1. Анализ текущего состояния оказания медицинской помощи больным с сердечно-сосудистыми заболеваниями в Астраханской области. Основные показатели оказания медицинской помощи больным с сердечно-</w:t>
      </w:r>
      <w:r>
        <w:rPr>
          <w:b/>
          <w:color w:val="000000"/>
          <w:highlight w:val="white"/>
          <w:lang w:bidi="ru-RU"/>
        </w:rPr>
        <w:softHyphen/>
        <w:t>сосудистыми заболеваниями в разрезе районов Астраханской области.</w:t>
      </w:r>
    </w:p>
    <w:p w:rsidR="00ED7F17" w:rsidRDefault="00ED7F17" w:rsidP="00ED7F17">
      <w:pPr>
        <w:ind w:firstLine="708"/>
        <w:jc w:val="center"/>
        <w:rPr>
          <w:b/>
        </w:rPr>
      </w:pPr>
    </w:p>
    <w:p w:rsidR="00ED7F17" w:rsidRDefault="00ED7F17" w:rsidP="00ED7F17">
      <w:pPr>
        <w:ind w:firstLine="708"/>
        <w:jc w:val="both"/>
        <w:rPr>
          <w:rFonts w:ascii="Arial" w:hAnsi="Arial" w:cs="Arial"/>
          <w:sz w:val="22"/>
          <w:szCs w:val="22"/>
        </w:rPr>
      </w:pPr>
      <w:r>
        <w:rPr>
          <w:b/>
        </w:rPr>
        <w:t>1.1. Общие сведения о регионе</w:t>
      </w:r>
    </w:p>
    <w:p w:rsidR="00ED7F17" w:rsidRDefault="00ED7F17" w:rsidP="00ED7F17">
      <w:pPr>
        <w:ind w:firstLine="709"/>
        <w:jc w:val="both"/>
      </w:pPr>
      <w:r>
        <w:rPr>
          <w:bCs/>
          <w:highlight w:val="white"/>
        </w:rPr>
        <w:t>Астраханская область входит в состав Южного федерального округа, охватывающего юго</w:t>
      </w:r>
      <w:r w:rsidR="0091552F">
        <w:rPr>
          <w:bCs/>
          <w:highlight w:val="white"/>
        </w:rPr>
        <w:t xml:space="preserve"> </w:t>
      </w:r>
      <w:r>
        <w:rPr>
          <w:bCs/>
          <w:highlight w:val="white"/>
        </w:rPr>
        <w:t>–</w:t>
      </w:r>
      <w:r w:rsidR="0091552F">
        <w:rPr>
          <w:bCs/>
          <w:highlight w:val="white"/>
        </w:rPr>
        <w:t xml:space="preserve"> </w:t>
      </w:r>
      <w:r>
        <w:rPr>
          <w:bCs/>
          <w:highlight w:val="white"/>
        </w:rPr>
        <w:t xml:space="preserve">восток европейской части России. Область занимает северо–западную часть Прикаспийской низменности, Волго – Ахтубинскую пойму и дельту реки Волги. Граничит на западе с республикой Калмыкия- Халмг Танч, на севере – с Волгоградской областью, на востоке – с республикой Казахстан, с юга омывается водами Каспийского моря. Область расположена между 45 и 49 градусами северной широты в поясе континентального засушливого климата. Астраханская область расположена в двух природных зонах – полупустыне и пустыне. Лесов в области мало. Административный центр области - город </w:t>
      </w:r>
      <w:r w:rsidRPr="0091552F">
        <w:rPr>
          <w:bCs/>
          <w:highlight w:val="white"/>
        </w:rPr>
        <w:t>Астрахань</w:t>
      </w:r>
      <w:r>
        <w:rPr>
          <w:bCs/>
          <w:highlight w:val="white"/>
        </w:rPr>
        <w:t xml:space="preserve">. По территории Астраханская область (49024 км²) занимает 6-е место из восьми регионов </w:t>
      </w:r>
      <w:r w:rsidRPr="0091552F">
        <w:rPr>
          <w:bCs/>
          <w:highlight w:val="white"/>
        </w:rPr>
        <w:t>Поволжья</w:t>
      </w:r>
      <w:r>
        <w:rPr>
          <w:bCs/>
          <w:highlight w:val="white"/>
        </w:rPr>
        <w:t>.</w:t>
      </w:r>
    </w:p>
    <w:p w:rsidR="00ED7F17" w:rsidRDefault="00ED7F17" w:rsidP="00ED7F17">
      <w:pPr>
        <w:jc w:val="center"/>
        <w:rPr>
          <w:b/>
        </w:rPr>
      </w:pPr>
    </w:p>
    <w:p w:rsidR="00ED7F17" w:rsidRDefault="00ED7F17" w:rsidP="00ED7F17">
      <w:pPr>
        <w:jc w:val="center"/>
        <w:rPr>
          <w:rFonts w:ascii="Arial" w:hAnsi="Arial" w:cs="Arial"/>
          <w:sz w:val="22"/>
          <w:szCs w:val="22"/>
        </w:rPr>
      </w:pPr>
      <w:r>
        <w:rPr>
          <w:b/>
        </w:rPr>
        <w:t>Территориальные и транспортные особенности Астраханской области</w:t>
      </w:r>
    </w:p>
    <w:p w:rsidR="00ED7F17" w:rsidRDefault="00ED7F17" w:rsidP="00ED7F17">
      <w:pPr>
        <w:pStyle w:val="17"/>
        <w:spacing w:after="0" w:line="276" w:lineRule="auto"/>
        <w:ind w:left="0" w:firstLine="709"/>
        <w:jc w:val="both"/>
      </w:pPr>
      <w:r>
        <w:rPr>
          <w:rFonts w:ascii="Times New Roman" w:hAnsi="Times New Roman" w:cs="Times New Roman"/>
        </w:rPr>
        <w:t>В Астраханской области действуют 170 муниципальных образований, в том числе 2 городских округа (один из которых - закрытое административное территориальное образование Знаменск (далее- ЗАТО Знаменск), 11 муниципальных районов, 11 городских поселений, 146 сельских поселений.</w:t>
      </w:r>
    </w:p>
    <w:p w:rsidR="00ED7F17" w:rsidRDefault="00ED7F17" w:rsidP="00ED7F17">
      <w:pPr>
        <w:spacing w:before="72"/>
        <w:jc w:val="center"/>
      </w:pPr>
      <w:r>
        <w:t>Административное деление Астраханской области</w:t>
      </w:r>
    </w:p>
    <w:p w:rsidR="00ED7F17" w:rsidRDefault="00ED7F17" w:rsidP="00ED7F17">
      <w:pPr>
        <w:spacing w:before="72"/>
      </w:pPr>
    </w:p>
    <w:tbl>
      <w:tblPr>
        <w:tblW w:w="0" w:type="auto"/>
        <w:tblInd w:w="-36" w:type="dxa"/>
        <w:tblLayout w:type="fixed"/>
        <w:tblCellMar>
          <w:top w:w="48" w:type="dxa"/>
          <w:left w:w="86" w:type="dxa"/>
          <w:bottom w:w="48" w:type="dxa"/>
          <w:right w:w="315" w:type="dxa"/>
        </w:tblCellMar>
        <w:tblLook w:val="04A0" w:firstRow="1" w:lastRow="0" w:firstColumn="1" w:lastColumn="0" w:noHBand="0" w:noVBand="1"/>
      </w:tblPr>
      <w:tblGrid>
        <w:gridCol w:w="1525"/>
        <w:gridCol w:w="3969"/>
        <w:gridCol w:w="4031"/>
      </w:tblGrid>
      <w:tr w:rsidR="00ED7F17" w:rsidTr="00ED7F17">
        <w:trPr>
          <w:trHeight w:val="534"/>
        </w:trPr>
        <w:tc>
          <w:tcPr>
            <w:tcW w:w="1525" w:type="dxa"/>
            <w:tcBorders>
              <w:top w:val="single" w:sz="4" w:space="0" w:color="000001"/>
              <w:left w:val="single" w:sz="4" w:space="0" w:color="000001"/>
              <w:bottom w:val="single" w:sz="4" w:space="0" w:color="000001"/>
              <w:right w:val="nil"/>
            </w:tcBorders>
            <w:shd w:val="clear" w:color="auto" w:fill="FFFFFF"/>
            <w:vAlign w:val="center"/>
            <w:hideMark/>
          </w:tcPr>
          <w:p w:rsidR="00ED7F17" w:rsidRDefault="00ED7F17">
            <w:pPr>
              <w:jc w:val="center"/>
              <w:rPr>
                <w:rFonts w:ascii="Arial" w:eastAsia="Arial" w:hAnsi="Arial" w:cs="Arial"/>
                <w:sz w:val="22"/>
                <w:szCs w:val="22"/>
              </w:rPr>
            </w:pPr>
            <w:r>
              <w:rPr>
                <w:b/>
                <w:bCs/>
              </w:rPr>
              <w:t>№ п/п</w:t>
            </w:r>
          </w:p>
        </w:tc>
        <w:tc>
          <w:tcPr>
            <w:tcW w:w="3969" w:type="dxa"/>
            <w:tcBorders>
              <w:top w:val="single" w:sz="4" w:space="0" w:color="000001"/>
              <w:left w:val="single" w:sz="4" w:space="0" w:color="000001"/>
              <w:bottom w:val="single" w:sz="4" w:space="0" w:color="000001"/>
              <w:right w:val="nil"/>
            </w:tcBorders>
            <w:vAlign w:val="center"/>
            <w:hideMark/>
          </w:tcPr>
          <w:p w:rsidR="00ED7F17" w:rsidRDefault="00ED7F17">
            <w:pPr>
              <w:spacing w:before="72"/>
              <w:jc w:val="center"/>
              <w:rPr>
                <w:rFonts w:ascii="Arial" w:eastAsia="Arial" w:hAnsi="Arial" w:cs="Arial"/>
                <w:sz w:val="22"/>
                <w:szCs w:val="22"/>
              </w:rPr>
            </w:pPr>
            <w:r>
              <w:rPr>
                <w:b/>
                <w:bCs/>
              </w:rPr>
              <w:t>Городские округа</w:t>
            </w:r>
          </w:p>
        </w:tc>
        <w:tc>
          <w:tcPr>
            <w:tcW w:w="4031" w:type="dxa"/>
            <w:tcBorders>
              <w:top w:val="single" w:sz="4" w:space="0" w:color="000001"/>
              <w:left w:val="single" w:sz="4" w:space="0" w:color="000001"/>
              <w:bottom w:val="single" w:sz="4" w:space="0" w:color="000001"/>
              <w:right w:val="single" w:sz="4" w:space="0" w:color="000001"/>
            </w:tcBorders>
            <w:shd w:val="clear" w:color="auto" w:fill="FFFFFF"/>
            <w:vAlign w:val="center"/>
            <w:hideMark/>
          </w:tcPr>
          <w:p w:rsidR="00ED7F17" w:rsidRDefault="00ED7F17">
            <w:pPr>
              <w:jc w:val="center"/>
              <w:rPr>
                <w:rFonts w:ascii="Arial" w:eastAsia="Arial" w:hAnsi="Arial" w:cs="Arial"/>
                <w:sz w:val="22"/>
                <w:szCs w:val="22"/>
              </w:rPr>
            </w:pPr>
            <w:r>
              <w:rPr>
                <w:b/>
                <w:bCs/>
              </w:rPr>
              <w:t>Население на 01.01.2018, чел.</w:t>
            </w:r>
          </w:p>
        </w:tc>
      </w:tr>
      <w:tr w:rsidR="00ED7F17" w:rsidTr="00ED7F17">
        <w:tc>
          <w:tcPr>
            <w:tcW w:w="1525" w:type="dxa"/>
            <w:tcBorders>
              <w:top w:val="single" w:sz="4" w:space="0" w:color="000001"/>
              <w:left w:val="single" w:sz="4" w:space="0" w:color="000001"/>
              <w:bottom w:val="single" w:sz="4" w:space="0" w:color="000001"/>
              <w:right w:val="nil"/>
            </w:tcBorders>
            <w:shd w:val="clear" w:color="auto" w:fill="FFFFFF"/>
            <w:vAlign w:val="center"/>
            <w:hideMark/>
          </w:tcPr>
          <w:p w:rsidR="00ED7F17" w:rsidRDefault="00ED7F17">
            <w:pPr>
              <w:jc w:val="center"/>
              <w:rPr>
                <w:rFonts w:ascii="Arial" w:eastAsia="Arial" w:hAnsi="Arial" w:cs="Arial"/>
                <w:sz w:val="22"/>
                <w:szCs w:val="22"/>
              </w:rPr>
            </w:pPr>
            <w:r>
              <w:t>I</w:t>
            </w:r>
          </w:p>
        </w:tc>
        <w:tc>
          <w:tcPr>
            <w:tcW w:w="3969" w:type="dxa"/>
            <w:tcBorders>
              <w:top w:val="single" w:sz="4" w:space="0" w:color="000001"/>
              <w:left w:val="single" w:sz="4" w:space="0" w:color="000001"/>
              <w:bottom w:val="single" w:sz="4" w:space="0" w:color="000001"/>
              <w:right w:val="nil"/>
            </w:tcBorders>
            <w:vAlign w:val="center"/>
            <w:hideMark/>
          </w:tcPr>
          <w:p w:rsidR="00ED7F17" w:rsidRDefault="00ED7F17">
            <w:r>
              <w:t xml:space="preserve">г. </w:t>
            </w:r>
            <w:hyperlink r:id="rId23" w:history="1">
              <w:r>
                <w:rPr>
                  <w:rStyle w:val="ac"/>
                </w:rPr>
                <w:t>Астрахань</w:t>
              </w:r>
            </w:hyperlink>
          </w:p>
        </w:tc>
        <w:tc>
          <w:tcPr>
            <w:tcW w:w="4031" w:type="dxa"/>
            <w:tcBorders>
              <w:top w:val="single" w:sz="4" w:space="0" w:color="000001"/>
              <w:left w:val="single" w:sz="4" w:space="0" w:color="000001"/>
              <w:bottom w:val="single" w:sz="4" w:space="0" w:color="000001"/>
              <w:right w:val="single" w:sz="4" w:space="0" w:color="000001"/>
            </w:tcBorders>
            <w:shd w:val="clear" w:color="auto" w:fill="FFFFFF"/>
            <w:vAlign w:val="center"/>
            <w:hideMark/>
          </w:tcPr>
          <w:p w:rsidR="00ED7F17" w:rsidRDefault="00ED7F17">
            <w:pPr>
              <w:jc w:val="center"/>
              <w:rPr>
                <w:rFonts w:ascii="Arial" w:eastAsia="Arial" w:hAnsi="Arial" w:cs="Arial"/>
                <w:sz w:val="22"/>
                <w:szCs w:val="22"/>
              </w:rPr>
            </w:pPr>
            <w:r>
              <w:t>533925</w:t>
            </w:r>
          </w:p>
        </w:tc>
      </w:tr>
      <w:tr w:rsidR="00ED7F17" w:rsidTr="00ED7F17">
        <w:tc>
          <w:tcPr>
            <w:tcW w:w="1525" w:type="dxa"/>
            <w:tcBorders>
              <w:top w:val="single" w:sz="4" w:space="0" w:color="000001"/>
              <w:left w:val="single" w:sz="4" w:space="0" w:color="000001"/>
              <w:bottom w:val="single" w:sz="4" w:space="0" w:color="000001"/>
              <w:right w:val="nil"/>
            </w:tcBorders>
            <w:shd w:val="clear" w:color="auto" w:fill="FFFFFF"/>
            <w:vAlign w:val="center"/>
            <w:hideMark/>
          </w:tcPr>
          <w:p w:rsidR="00ED7F17" w:rsidRDefault="00ED7F17">
            <w:pPr>
              <w:jc w:val="center"/>
              <w:rPr>
                <w:rFonts w:ascii="Arial" w:eastAsia="Arial" w:hAnsi="Arial" w:cs="Arial"/>
                <w:sz w:val="22"/>
                <w:szCs w:val="22"/>
              </w:rPr>
            </w:pPr>
            <w:r>
              <w:t>II</w:t>
            </w:r>
          </w:p>
        </w:tc>
        <w:tc>
          <w:tcPr>
            <w:tcW w:w="3969" w:type="dxa"/>
            <w:tcBorders>
              <w:top w:val="single" w:sz="4" w:space="0" w:color="000001"/>
              <w:left w:val="single" w:sz="4" w:space="0" w:color="000001"/>
              <w:bottom w:val="single" w:sz="4" w:space="0" w:color="000001"/>
              <w:right w:val="nil"/>
            </w:tcBorders>
            <w:vAlign w:val="center"/>
            <w:hideMark/>
          </w:tcPr>
          <w:p w:rsidR="00ED7F17" w:rsidRDefault="00274256">
            <w:hyperlink r:id="rId24" w:history="1">
              <w:r w:rsidR="00ED7F17">
                <w:rPr>
                  <w:rStyle w:val="ac"/>
                </w:rPr>
                <w:t>ЗАТО Знаменск</w:t>
              </w:r>
            </w:hyperlink>
          </w:p>
        </w:tc>
        <w:tc>
          <w:tcPr>
            <w:tcW w:w="4031" w:type="dxa"/>
            <w:tcBorders>
              <w:top w:val="single" w:sz="4" w:space="0" w:color="000001"/>
              <w:left w:val="single" w:sz="4" w:space="0" w:color="000001"/>
              <w:bottom w:val="single" w:sz="4" w:space="0" w:color="000001"/>
              <w:right w:val="single" w:sz="4" w:space="0" w:color="000001"/>
            </w:tcBorders>
            <w:shd w:val="clear" w:color="auto" w:fill="FFFFFF"/>
            <w:vAlign w:val="center"/>
            <w:hideMark/>
          </w:tcPr>
          <w:p w:rsidR="00ED7F17" w:rsidRDefault="00ED7F17">
            <w:pPr>
              <w:jc w:val="center"/>
              <w:rPr>
                <w:rFonts w:ascii="Arial" w:eastAsia="Arial" w:hAnsi="Arial" w:cs="Arial"/>
                <w:sz w:val="22"/>
                <w:szCs w:val="22"/>
              </w:rPr>
            </w:pPr>
            <w:r>
              <w:t>31646</w:t>
            </w:r>
          </w:p>
        </w:tc>
      </w:tr>
      <w:tr w:rsidR="00ED7F17" w:rsidTr="00ED7F17">
        <w:tc>
          <w:tcPr>
            <w:tcW w:w="1525" w:type="dxa"/>
            <w:tcBorders>
              <w:top w:val="single" w:sz="4" w:space="0" w:color="000001"/>
              <w:left w:val="single" w:sz="4" w:space="0" w:color="000001"/>
              <w:bottom w:val="single" w:sz="4" w:space="0" w:color="000001"/>
              <w:right w:val="nil"/>
            </w:tcBorders>
            <w:shd w:val="clear" w:color="auto" w:fill="FFFFFF"/>
            <w:vAlign w:val="center"/>
            <w:hideMark/>
          </w:tcPr>
          <w:p w:rsidR="00ED7F17" w:rsidRDefault="00ED7F17">
            <w:pPr>
              <w:jc w:val="center"/>
              <w:rPr>
                <w:rFonts w:ascii="Arial" w:eastAsia="Arial" w:hAnsi="Arial" w:cs="Arial"/>
                <w:sz w:val="22"/>
                <w:szCs w:val="22"/>
              </w:rPr>
            </w:pPr>
            <w:r>
              <w:rPr>
                <w:b/>
                <w:bCs/>
              </w:rPr>
              <w:t>№ п/п</w:t>
            </w:r>
          </w:p>
        </w:tc>
        <w:tc>
          <w:tcPr>
            <w:tcW w:w="3969" w:type="dxa"/>
            <w:tcBorders>
              <w:top w:val="single" w:sz="4" w:space="0" w:color="000001"/>
              <w:left w:val="single" w:sz="4" w:space="0" w:color="000001"/>
              <w:bottom w:val="single" w:sz="4" w:space="0" w:color="000001"/>
              <w:right w:val="nil"/>
            </w:tcBorders>
            <w:vAlign w:val="center"/>
            <w:hideMark/>
          </w:tcPr>
          <w:p w:rsidR="00ED7F17" w:rsidRDefault="00ED7F17">
            <w:pPr>
              <w:jc w:val="center"/>
              <w:rPr>
                <w:rFonts w:ascii="Arial" w:eastAsia="Arial" w:hAnsi="Arial" w:cs="Arial"/>
                <w:sz w:val="22"/>
                <w:szCs w:val="22"/>
              </w:rPr>
            </w:pPr>
            <w:r>
              <w:rPr>
                <w:b/>
                <w:bCs/>
              </w:rPr>
              <w:t>Муниципальные районы</w:t>
            </w:r>
          </w:p>
        </w:tc>
        <w:tc>
          <w:tcPr>
            <w:tcW w:w="4031" w:type="dxa"/>
            <w:tcBorders>
              <w:top w:val="single" w:sz="4" w:space="0" w:color="000001"/>
              <w:left w:val="single" w:sz="4" w:space="0" w:color="000001"/>
              <w:bottom w:val="single" w:sz="4" w:space="0" w:color="000001"/>
              <w:right w:val="single" w:sz="4" w:space="0" w:color="000001"/>
            </w:tcBorders>
            <w:shd w:val="clear" w:color="auto" w:fill="FFFFFF"/>
            <w:vAlign w:val="center"/>
            <w:hideMark/>
          </w:tcPr>
          <w:p w:rsidR="00ED7F17" w:rsidRDefault="00ED7F17">
            <w:pPr>
              <w:jc w:val="center"/>
              <w:rPr>
                <w:rFonts w:ascii="Arial" w:eastAsia="Arial" w:hAnsi="Arial" w:cs="Arial"/>
                <w:sz w:val="22"/>
                <w:szCs w:val="22"/>
              </w:rPr>
            </w:pPr>
            <w:r>
              <w:rPr>
                <w:b/>
                <w:bCs/>
              </w:rPr>
              <w:t>Население на 01.01.2018, чел.</w:t>
            </w:r>
          </w:p>
        </w:tc>
      </w:tr>
      <w:tr w:rsidR="00ED7F17" w:rsidTr="00ED7F17">
        <w:tc>
          <w:tcPr>
            <w:tcW w:w="1525" w:type="dxa"/>
            <w:tcBorders>
              <w:top w:val="single" w:sz="4" w:space="0" w:color="000001"/>
              <w:left w:val="single" w:sz="4" w:space="0" w:color="000001"/>
              <w:bottom w:val="single" w:sz="4" w:space="0" w:color="000001"/>
              <w:right w:val="nil"/>
            </w:tcBorders>
            <w:shd w:val="clear" w:color="auto" w:fill="FFFFFF"/>
            <w:vAlign w:val="center"/>
            <w:hideMark/>
          </w:tcPr>
          <w:p w:rsidR="00ED7F17" w:rsidRDefault="00ED7F17">
            <w:pPr>
              <w:jc w:val="center"/>
              <w:rPr>
                <w:rFonts w:ascii="Arial" w:eastAsia="Arial" w:hAnsi="Arial" w:cs="Arial"/>
                <w:sz w:val="22"/>
                <w:szCs w:val="22"/>
              </w:rPr>
            </w:pPr>
            <w:r>
              <w:t>1</w:t>
            </w:r>
          </w:p>
        </w:tc>
        <w:tc>
          <w:tcPr>
            <w:tcW w:w="3969" w:type="dxa"/>
            <w:tcBorders>
              <w:top w:val="single" w:sz="4" w:space="0" w:color="000001"/>
              <w:left w:val="single" w:sz="4" w:space="0" w:color="000001"/>
              <w:bottom w:val="single" w:sz="4" w:space="0" w:color="000001"/>
              <w:right w:val="nil"/>
            </w:tcBorders>
            <w:shd w:val="clear" w:color="auto" w:fill="FFFFFF"/>
            <w:vAlign w:val="center"/>
            <w:hideMark/>
          </w:tcPr>
          <w:p w:rsidR="00ED7F17" w:rsidRDefault="00274256">
            <w:hyperlink r:id="rId25" w:history="1">
              <w:r w:rsidR="00ED7F17">
                <w:rPr>
                  <w:rStyle w:val="ac"/>
                </w:rPr>
                <w:t>Ахтубинский район</w:t>
              </w:r>
            </w:hyperlink>
          </w:p>
        </w:tc>
        <w:tc>
          <w:tcPr>
            <w:tcW w:w="4031" w:type="dxa"/>
            <w:tcBorders>
              <w:top w:val="single" w:sz="4" w:space="0" w:color="000001"/>
              <w:left w:val="single" w:sz="4" w:space="0" w:color="000001"/>
              <w:bottom w:val="single" w:sz="4" w:space="0" w:color="000001"/>
              <w:right w:val="single" w:sz="4" w:space="0" w:color="000001"/>
            </w:tcBorders>
            <w:shd w:val="clear" w:color="auto" w:fill="FFFFFF"/>
            <w:vAlign w:val="center"/>
            <w:hideMark/>
          </w:tcPr>
          <w:p w:rsidR="00ED7F17" w:rsidRDefault="00ED7F17">
            <w:pPr>
              <w:jc w:val="center"/>
              <w:rPr>
                <w:rFonts w:ascii="Arial" w:eastAsia="Arial" w:hAnsi="Arial" w:cs="Arial"/>
                <w:sz w:val="22"/>
                <w:szCs w:val="22"/>
              </w:rPr>
            </w:pPr>
            <w:r>
              <w:t>58969</w:t>
            </w:r>
          </w:p>
        </w:tc>
      </w:tr>
      <w:tr w:rsidR="00ED7F17" w:rsidTr="00ED7F17">
        <w:tc>
          <w:tcPr>
            <w:tcW w:w="1525" w:type="dxa"/>
            <w:tcBorders>
              <w:top w:val="single" w:sz="4" w:space="0" w:color="000001"/>
              <w:left w:val="single" w:sz="4" w:space="0" w:color="000001"/>
              <w:bottom w:val="single" w:sz="4" w:space="0" w:color="000001"/>
              <w:right w:val="nil"/>
            </w:tcBorders>
            <w:shd w:val="clear" w:color="auto" w:fill="FFFFFF"/>
            <w:vAlign w:val="center"/>
            <w:hideMark/>
          </w:tcPr>
          <w:p w:rsidR="00ED7F17" w:rsidRDefault="00ED7F17">
            <w:pPr>
              <w:jc w:val="center"/>
              <w:rPr>
                <w:rFonts w:ascii="Arial" w:eastAsia="Arial" w:hAnsi="Arial" w:cs="Arial"/>
                <w:sz w:val="22"/>
                <w:szCs w:val="22"/>
              </w:rPr>
            </w:pPr>
            <w:r>
              <w:t>2</w:t>
            </w:r>
          </w:p>
        </w:tc>
        <w:tc>
          <w:tcPr>
            <w:tcW w:w="3969" w:type="dxa"/>
            <w:tcBorders>
              <w:top w:val="single" w:sz="4" w:space="0" w:color="000001"/>
              <w:left w:val="single" w:sz="4" w:space="0" w:color="000001"/>
              <w:bottom w:val="single" w:sz="4" w:space="0" w:color="000001"/>
              <w:right w:val="nil"/>
            </w:tcBorders>
            <w:shd w:val="clear" w:color="auto" w:fill="FFFFFF"/>
            <w:vAlign w:val="center"/>
            <w:hideMark/>
          </w:tcPr>
          <w:p w:rsidR="00ED7F17" w:rsidRDefault="00274256">
            <w:hyperlink r:id="rId26" w:history="1">
              <w:r w:rsidR="00ED7F17">
                <w:rPr>
                  <w:rStyle w:val="ac"/>
                </w:rPr>
                <w:t>Володарский район</w:t>
              </w:r>
            </w:hyperlink>
          </w:p>
        </w:tc>
        <w:tc>
          <w:tcPr>
            <w:tcW w:w="4031" w:type="dxa"/>
            <w:tcBorders>
              <w:top w:val="single" w:sz="4" w:space="0" w:color="000001"/>
              <w:left w:val="single" w:sz="4" w:space="0" w:color="000001"/>
              <w:bottom w:val="single" w:sz="4" w:space="0" w:color="000001"/>
              <w:right w:val="single" w:sz="4" w:space="0" w:color="000001"/>
            </w:tcBorders>
            <w:shd w:val="clear" w:color="auto" w:fill="FFFFFF"/>
            <w:vAlign w:val="center"/>
            <w:hideMark/>
          </w:tcPr>
          <w:p w:rsidR="00ED7F17" w:rsidRDefault="00ED7F17">
            <w:pPr>
              <w:jc w:val="center"/>
              <w:rPr>
                <w:rFonts w:ascii="Arial" w:eastAsia="Arial" w:hAnsi="Arial" w:cs="Arial"/>
                <w:sz w:val="22"/>
                <w:szCs w:val="22"/>
              </w:rPr>
            </w:pPr>
            <w:r>
              <w:t>47073</w:t>
            </w:r>
          </w:p>
        </w:tc>
      </w:tr>
      <w:tr w:rsidR="00ED7F17" w:rsidTr="00ED7F17">
        <w:trPr>
          <w:trHeight w:val="452"/>
        </w:trPr>
        <w:tc>
          <w:tcPr>
            <w:tcW w:w="1525" w:type="dxa"/>
            <w:tcBorders>
              <w:top w:val="single" w:sz="4" w:space="0" w:color="000001"/>
              <w:left w:val="single" w:sz="4" w:space="0" w:color="000001"/>
              <w:bottom w:val="single" w:sz="4" w:space="0" w:color="000001"/>
              <w:right w:val="nil"/>
            </w:tcBorders>
            <w:shd w:val="clear" w:color="auto" w:fill="FFFFFF"/>
            <w:vAlign w:val="center"/>
            <w:hideMark/>
          </w:tcPr>
          <w:p w:rsidR="00ED7F17" w:rsidRDefault="00ED7F17">
            <w:pPr>
              <w:jc w:val="center"/>
              <w:rPr>
                <w:rFonts w:ascii="Arial" w:eastAsia="Arial" w:hAnsi="Arial" w:cs="Arial"/>
                <w:sz w:val="22"/>
                <w:szCs w:val="22"/>
              </w:rPr>
            </w:pPr>
            <w:r>
              <w:t>3</w:t>
            </w:r>
          </w:p>
        </w:tc>
        <w:tc>
          <w:tcPr>
            <w:tcW w:w="3969" w:type="dxa"/>
            <w:tcBorders>
              <w:top w:val="single" w:sz="4" w:space="0" w:color="000001"/>
              <w:left w:val="single" w:sz="4" w:space="0" w:color="000001"/>
              <w:bottom w:val="single" w:sz="4" w:space="0" w:color="000001"/>
              <w:right w:val="nil"/>
            </w:tcBorders>
            <w:shd w:val="clear" w:color="auto" w:fill="FFFFFF"/>
            <w:vAlign w:val="center"/>
            <w:hideMark/>
          </w:tcPr>
          <w:p w:rsidR="00ED7F17" w:rsidRDefault="00274256">
            <w:hyperlink r:id="rId27" w:history="1">
              <w:r w:rsidR="00ED7F17">
                <w:rPr>
                  <w:rStyle w:val="ac"/>
                </w:rPr>
                <w:t>Енотаевский район</w:t>
              </w:r>
            </w:hyperlink>
          </w:p>
        </w:tc>
        <w:tc>
          <w:tcPr>
            <w:tcW w:w="4031" w:type="dxa"/>
            <w:tcBorders>
              <w:top w:val="single" w:sz="4" w:space="0" w:color="000001"/>
              <w:left w:val="single" w:sz="4" w:space="0" w:color="000001"/>
              <w:bottom w:val="single" w:sz="4" w:space="0" w:color="000001"/>
              <w:right w:val="single" w:sz="4" w:space="0" w:color="000001"/>
            </w:tcBorders>
            <w:shd w:val="clear" w:color="auto" w:fill="FFFFFF"/>
            <w:vAlign w:val="center"/>
            <w:hideMark/>
          </w:tcPr>
          <w:p w:rsidR="00ED7F17" w:rsidRDefault="00ED7F17">
            <w:pPr>
              <w:jc w:val="center"/>
              <w:rPr>
                <w:rFonts w:ascii="Arial" w:eastAsia="Arial" w:hAnsi="Arial" w:cs="Arial"/>
                <w:sz w:val="22"/>
                <w:szCs w:val="22"/>
              </w:rPr>
            </w:pPr>
            <w:r>
              <w:t>25405</w:t>
            </w:r>
          </w:p>
        </w:tc>
      </w:tr>
      <w:tr w:rsidR="00ED7F17" w:rsidTr="00ED7F17">
        <w:tc>
          <w:tcPr>
            <w:tcW w:w="1525" w:type="dxa"/>
            <w:tcBorders>
              <w:top w:val="single" w:sz="4" w:space="0" w:color="000001"/>
              <w:left w:val="single" w:sz="4" w:space="0" w:color="000001"/>
              <w:bottom w:val="single" w:sz="4" w:space="0" w:color="000001"/>
              <w:right w:val="nil"/>
            </w:tcBorders>
            <w:shd w:val="clear" w:color="auto" w:fill="FFFFFF"/>
            <w:vAlign w:val="center"/>
            <w:hideMark/>
          </w:tcPr>
          <w:p w:rsidR="00ED7F17" w:rsidRDefault="00ED7F17">
            <w:pPr>
              <w:jc w:val="center"/>
              <w:rPr>
                <w:rFonts w:ascii="Arial" w:eastAsia="Arial" w:hAnsi="Arial" w:cs="Arial"/>
                <w:sz w:val="22"/>
                <w:szCs w:val="22"/>
              </w:rPr>
            </w:pPr>
            <w:r>
              <w:t>4</w:t>
            </w:r>
          </w:p>
        </w:tc>
        <w:tc>
          <w:tcPr>
            <w:tcW w:w="3969" w:type="dxa"/>
            <w:tcBorders>
              <w:top w:val="single" w:sz="4" w:space="0" w:color="000001"/>
              <w:left w:val="single" w:sz="4" w:space="0" w:color="000001"/>
              <w:bottom w:val="single" w:sz="4" w:space="0" w:color="000001"/>
              <w:right w:val="nil"/>
            </w:tcBorders>
            <w:shd w:val="clear" w:color="auto" w:fill="FFFFFF"/>
            <w:vAlign w:val="center"/>
            <w:hideMark/>
          </w:tcPr>
          <w:p w:rsidR="00ED7F17" w:rsidRDefault="00274256">
            <w:hyperlink r:id="rId28" w:history="1">
              <w:r w:rsidR="00ED7F17">
                <w:rPr>
                  <w:rStyle w:val="ac"/>
                </w:rPr>
                <w:t>Икрянинский район</w:t>
              </w:r>
            </w:hyperlink>
          </w:p>
        </w:tc>
        <w:tc>
          <w:tcPr>
            <w:tcW w:w="4031" w:type="dxa"/>
            <w:tcBorders>
              <w:top w:val="single" w:sz="4" w:space="0" w:color="000001"/>
              <w:left w:val="single" w:sz="4" w:space="0" w:color="000001"/>
              <w:bottom w:val="single" w:sz="4" w:space="0" w:color="000001"/>
              <w:right w:val="single" w:sz="4" w:space="0" w:color="000001"/>
            </w:tcBorders>
            <w:shd w:val="clear" w:color="auto" w:fill="FFFFFF"/>
            <w:vAlign w:val="center"/>
            <w:hideMark/>
          </w:tcPr>
          <w:p w:rsidR="00ED7F17" w:rsidRDefault="00ED7F17">
            <w:pPr>
              <w:jc w:val="center"/>
              <w:rPr>
                <w:rFonts w:ascii="Arial" w:eastAsia="Arial" w:hAnsi="Arial" w:cs="Arial"/>
                <w:sz w:val="22"/>
                <w:szCs w:val="22"/>
              </w:rPr>
            </w:pPr>
            <w:r>
              <w:t>47312</w:t>
            </w:r>
          </w:p>
        </w:tc>
      </w:tr>
      <w:tr w:rsidR="00ED7F17" w:rsidTr="00ED7F17">
        <w:tc>
          <w:tcPr>
            <w:tcW w:w="1525" w:type="dxa"/>
            <w:tcBorders>
              <w:top w:val="single" w:sz="4" w:space="0" w:color="000001"/>
              <w:left w:val="single" w:sz="4" w:space="0" w:color="000001"/>
              <w:bottom w:val="single" w:sz="4" w:space="0" w:color="000001"/>
              <w:right w:val="nil"/>
            </w:tcBorders>
            <w:shd w:val="clear" w:color="auto" w:fill="FFFFFF"/>
            <w:vAlign w:val="center"/>
            <w:hideMark/>
          </w:tcPr>
          <w:p w:rsidR="00ED7F17" w:rsidRDefault="00ED7F17">
            <w:pPr>
              <w:jc w:val="center"/>
              <w:rPr>
                <w:rFonts w:ascii="Arial" w:eastAsia="Arial" w:hAnsi="Arial" w:cs="Arial"/>
                <w:sz w:val="22"/>
                <w:szCs w:val="22"/>
              </w:rPr>
            </w:pPr>
            <w:r>
              <w:t>5</w:t>
            </w:r>
          </w:p>
        </w:tc>
        <w:tc>
          <w:tcPr>
            <w:tcW w:w="3969" w:type="dxa"/>
            <w:tcBorders>
              <w:top w:val="single" w:sz="4" w:space="0" w:color="000001"/>
              <w:left w:val="single" w:sz="4" w:space="0" w:color="000001"/>
              <w:bottom w:val="single" w:sz="4" w:space="0" w:color="000001"/>
              <w:right w:val="nil"/>
            </w:tcBorders>
            <w:shd w:val="clear" w:color="auto" w:fill="FFFFFF"/>
            <w:vAlign w:val="center"/>
            <w:hideMark/>
          </w:tcPr>
          <w:p w:rsidR="00ED7F17" w:rsidRDefault="00274256">
            <w:hyperlink r:id="rId29" w:history="1">
              <w:r w:rsidR="00ED7F17">
                <w:rPr>
                  <w:rStyle w:val="ac"/>
                </w:rPr>
                <w:t>Камызякский район</w:t>
              </w:r>
            </w:hyperlink>
          </w:p>
        </w:tc>
        <w:tc>
          <w:tcPr>
            <w:tcW w:w="4031" w:type="dxa"/>
            <w:tcBorders>
              <w:top w:val="single" w:sz="4" w:space="0" w:color="000001"/>
              <w:left w:val="single" w:sz="4" w:space="0" w:color="000001"/>
              <w:bottom w:val="single" w:sz="4" w:space="0" w:color="000001"/>
              <w:right w:val="single" w:sz="4" w:space="0" w:color="000001"/>
            </w:tcBorders>
            <w:shd w:val="clear" w:color="auto" w:fill="FFFFFF"/>
            <w:vAlign w:val="center"/>
            <w:hideMark/>
          </w:tcPr>
          <w:p w:rsidR="00ED7F17" w:rsidRDefault="00ED7F17">
            <w:pPr>
              <w:jc w:val="center"/>
              <w:rPr>
                <w:rFonts w:ascii="Arial" w:eastAsia="Arial" w:hAnsi="Arial" w:cs="Arial"/>
                <w:sz w:val="22"/>
                <w:szCs w:val="22"/>
              </w:rPr>
            </w:pPr>
            <w:r>
              <w:t>47029</w:t>
            </w:r>
          </w:p>
        </w:tc>
      </w:tr>
      <w:tr w:rsidR="00ED7F17" w:rsidTr="00ED7F17">
        <w:tc>
          <w:tcPr>
            <w:tcW w:w="1525" w:type="dxa"/>
            <w:tcBorders>
              <w:top w:val="single" w:sz="4" w:space="0" w:color="000001"/>
              <w:left w:val="single" w:sz="4" w:space="0" w:color="000001"/>
              <w:bottom w:val="single" w:sz="4" w:space="0" w:color="000001"/>
              <w:right w:val="nil"/>
            </w:tcBorders>
            <w:shd w:val="clear" w:color="auto" w:fill="FFFFFF"/>
            <w:vAlign w:val="center"/>
            <w:hideMark/>
          </w:tcPr>
          <w:p w:rsidR="00ED7F17" w:rsidRDefault="00ED7F17">
            <w:pPr>
              <w:jc w:val="center"/>
              <w:rPr>
                <w:rFonts w:ascii="Arial" w:eastAsia="Arial" w:hAnsi="Arial" w:cs="Arial"/>
                <w:sz w:val="22"/>
                <w:szCs w:val="22"/>
              </w:rPr>
            </w:pPr>
            <w:r>
              <w:t>6</w:t>
            </w:r>
          </w:p>
        </w:tc>
        <w:tc>
          <w:tcPr>
            <w:tcW w:w="3969" w:type="dxa"/>
            <w:tcBorders>
              <w:top w:val="single" w:sz="4" w:space="0" w:color="000001"/>
              <w:left w:val="single" w:sz="4" w:space="0" w:color="000001"/>
              <w:bottom w:val="single" w:sz="4" w:space="0" w:color="000001"/>
              <w:right w:val="nil"/>
            </w:tcBorders>
            <w:shd w:val="clear" w:color="auto" w:fill="FFFFFF"/>
            <w:vAlign w:val="center"/>
            <w:hideMark/>
          </w:tcPr>
          <w:p w:rsidR="00ED7F17" w:rsidRDefault="00274256">
            <w:hyperlink r:id="rId30" w:history="1">
              <w:r w:rsidR="00ED7F17">
                <w:rPr>
                  <w:rStyle w:val="ac"/>
                </w:rPr>
                <w:t>Красноярский район</w:t>
              </w:r>
            </w:hyperlink>
          </w:p>
        </w:tc>
        <w:tc>
          <w:tcPr>
            <w:tcW w:w="4031" w:type="dxa"/>
            <w:tcBorders>
              <w:top w:val="single" w:sz="4" w:space="0" w:color="000001"/>
              <w:left w:val="single" w:sz="4" w:space="0" w:color="000001"/>
              <w:bottom w:val="single" w:sz="4" w:space="0" w:color="000001"/>
              <w:right w:val="single" w:sz="4" w:space="0" w:color="000001"/>
            </w:tcBorders>
            <w:shd w:val="clear" w:color="auto" w:fill="FFFFFF"/>
            <w:vAlign w:val="center"/>
            <w:hideMark/>
          </w:tcPr>
          <w:p w:rsidR="00ED7F17" w:rsidRDefault="00ED7F17">
            <w:pPr>
              <w:jc w:val="center"/>
              <w:rPr>
                <w:rFonts w:ascii="Arial" w:eastAsia="Arial" w:hAnsi="Arial" w:cs="Arial"/>
                <w:sz w:val="22"/>
                <w:szCs w:val="22"/>
              </w:rPr>
            </w:pPr>
            <w:r>
              <w:t>37058</w:t>
            </w:r>
          </w:p>
        </w:tc>
      </w:tr>
      <w:tr w:rsidR="00ED7F17" w:rsidTr="00ED7F17">
        <w:tc>
          <w:tcPr>
            <w:tcW w:w="1525" w:type="dxa"/>
            <w:tcBorders>
              <w:top w:val="single" w:sz="4" w:space="0" w:color="000001"/>
              <w:left w:val="single" w:sz="4" w:space="0" w:color="000001"/>
              <w:bottom w:val="single" w:sz="4" w:space="0" w:color="000001"/>
              <w:right w:val="nil"/>
            </w:tcBorders>
            <w:shd w:val="clear" w:color="auto" w:fill="FFFFFF"/>
            <w:vAlign w:val="center"/>
            <w:hideMark/>
          </w:tcPr>
          <w:p w:rsidR="00ED7F17" w:rsidRDefault="00ED7F17">
            <w:pPr>
              <w:jc w:val="center"/>
              <w:rPr>
                <w:rFonts w:ascii="Arial" w:eastAsia="Arial" w:hAnsi="Arial" w:cs="Arial"/>
                <w:sz w:val="22"/>
                <w:szCs w:val="22"/>
              </w:rPr>
            </w:pPr>
            <w:r>
              <w:t>7</w:t>
            </w:r>
          </w:p>
        </w:tc>
        <w:tc>
          <w:tcPr>
            <w:tcW w:w="3969" w:type="dxa"/>
            <w:tcBorders>
              <w:top w:val="single" w:sz="4" w:space="0" w:color="000001"/>
              <w:left w:val="single" w:sz="4" w:space="0" w:color="000001"/>
              <w:bottom w:val="single" w:sz="4" w:space="0" w:color="000001"/>
              <w:right w:val="nil"/>
            </w:tcBorders>
            <w:shd w:val="clear" w:color="auto" w:fill="FFFFFF"/>
            <w:vAlign w:val="center"/>
            <w:hideMark/>
          </w:tcPr>
          <w:p w:rsidR="00ED7F17" w:rsidRDefault="00274256">
            <w:hyperlink r:id="rId31" w:history="1">
              <w:r w:rsidR="00ED7F17">
                <w:rPr>
                  <w:rStyle w:val="ac"/>
                </w:rPr>
                <w:t>Лиманский район</w:t>
              </w:r>
            </w:hyperlink>
          </w:p>
        </w:tc>
        <w:tc>
          <w:tcPr>
            <w:tcW w:w="4031" w:type="dxa"/>
            <w:tcBorders>
              <w:top w:val="single" w:sz="4" w:space="0" w:color="000001"/>
              <w:left w:val="single" w:sz="4" w:space="0" w:color="000001"/>
              <w:bottom w:val="single" w:sz="4" w:space="0" w:color="000001"/>
              <w:right w:val="single" w:sz="4" w:space="0" w:color="000001"/>
            </w:tcBorders>
            <w:shd w:val="clear" w:color="auto" w:fill="FFFFFF"/>
            <w:vAlign w:val="center"/>
            <w:hideMark/>
          </w:tcPr>
          <w:p w:rsidR="00ED7F17" w:rsidRDefault="00ED7F17">
            <w:pPr>
              <w:jc w:val="center"/>
              <w:rPr>
                <w:rFonts w:ascii="Arial" w:eastAsia="Arial" w:hAnsi="Arial" w:cs="Arial"/>
                <w:sz w:val="22"/>
                <w:szCs w:val="22"/>
              </w:rPr>
            </w:pPr>
            <w:r>
              <w:t>30245</w:t>
            </w:r>
          </w:p>
        </w:tc>
      </w:tr>
      <w:tr w:rsidR="00ED7F17" w:rsidTr="00ED7F17">
        <w:tc>
          <w:tcPr>
            <w:tcW w:w="1525" w:type="dxa"/>
            <w:tcBorders>
              <w:top w:val="single" w:sz="4" w:space="0" w:color="000001"/>
              <w:left w:val="single" w:sz="4" w:space="0" w:color="000001"/>
              <w:bottom w:val="single" w:sz="4" w:space="0" w:color="000001"/>
              <w:right w:val="nil"/>
            </w:tcBorders>
            <w:shd w:val="clear" w:color="auto" w:fill="FFFFFF"/>
            <w:vAlign w:val="center"/>
            <w:hideMark/>
          </w:tcPr>
          <w:p w:rsidR="00ED7F17" w:rsidRDefault="00ED7F17">
            <w:pPr>
              <w:jc w:val="center"/>
              <w:rPr>
                <w:rFonts w:ascii="Arial" w:eastAsia="Arial" w:hAnsi="Arial" w:cs="Arial"/>
                <w:sz w:val="22"/>
                <w:szCs w:val="22"/>
              </w:rPr>
            </w:pPr>
            <w:r>
              <w:t>8</w:t>
            </w:r>
          </w:p>
        </w:tc>
        <w:tc>
          <w:tcPr>
            <w:tcW w:w="3969" w:type="dxa"/>
            <w:tcBorders>
              <w:top w:val="single" w:sz="4" w:space="0" w:color="000001"/>
              <w:left w:val="single" w:sz="4" w:space="0" w:color="000001"/>
              <w:bottom w:val="single" w:sz="4" w:space="0" w:color="000001"/>
              <w:right w:val="nil"/>
            </w:tcBorders>
            <w:shd w:val="clear" w:color="auto" w:fill="FFFFFF"/>
            <w:vAlign w:val="center"/>
            <w:hideMark/>
          </w:tcPr>
          <w:p w:rsidR="00ED7F17" w:rsidRDefault="00274256">
            <w:hyperlink r:id="rId32" w:history="1">
              <w:r w:rsidR="00ED7F17">
                <w:rPr>
                  <w:rStyle w:val="ac"/>
                </w:rPr>
                <w:t>Наримановский район</w:t>
              </w:r>
            </w:hyperlink>
          </w:p>
        </w:tc>
        <w:tc>
          <w:tcPr>
            <w:tcW w:w="4031" w:type="dxa"/>
            <w:tcBorders>
              <w:top w:val="single" w:sz="4" w:space="0" w:color="000001"/>
              <w:left w:val="single" w:sz="4" w:space="0" w:color="000001"/>
              <w:bottom w:val="single" w:sz="4" w:space="0" w:color="000001"/>
              <w:right w:val="single" w:sz="4" w:space="0" w:color="000001"/>
            </w:tcBorders>
            <w:shd w:val="clear" w:color="auto" w:fill="FFFFFF"/>
            <w:vAlign w:val="center"/>
            <w:hideMark/>
          </w:tcPr>
          <w:p w:rsidR="00ED7F17" w:rsidRDefault="00ED7F17">
            <w:pPr>
              <w:jc w:val="center"/>
              <w:rPr>
                <w:rFonts w:ascii="Arial" w:eastAsia="Arial" w:hAnsi="Arial" w:cs="Arial"/>
                <w:sz w:val="22"/>
                <w:szCs w:val="22"/>
              </w:rPr>
            </w:pPr>
            <w:r>
              <w:t>48159</w:t>
            </w:r>
          </w:p>
        </w:tc>
      </w:tr>
      <w:tr w:rsidR="00ED7F17" w:rsidTr="00ED7F17">
        <w:tc>
          <w:tcPr>
            <w:tcW w:w="1525" w:type="dxa"/>
            <w:tcBorders>
              <w:top w:val="single" w:sz="4" w:space="0" w:color="000001"/>
              <w:left w:val="single" w:sz="4" w:space="0" w:color="000001"/>
              <w:bottom w:val="single" w:sz="4" w:space="0" w:color="000001"/>
              <w:right w:val="nil"/>
            </w:tcBorders>
            <w:shd w:val="clear" w:color="auto" w:fill="FFFFFF"/>
            <w:vAlign w:val="center"/>
            <w:hideMark/>
          </w:tcPr>
          <w:p w:rsidR="00ED7F17" w:rsidRDefault="00ED7F17">
            <w:pPr>
              <w:jc w:val="center"/>
              <w:rPr>
                <w:rFonts w:ascii="Arial" w:eastAsia="Arial" w:hAnsi="Arial" w:cs="Arial"/>
                <w:sz w:val="22"/>
                <w:szCs w:val="22"/>
              </w:rPr>
            </w:pPr>
            <w:r>
              <w:t>9</w:t>
            </w:r>
          </w:p>
        </w:tc>
        <w:tc>
          <w:tcPr>
            <w:tcW w:w="3969" w:type="dxa"/>
            <w:tcBorders>
              <w:top w:val="single" w:sz="4" w:space="0" w:color="000001"/>
              <w:left w:val="single" w:sz="4" w:space="0" w:color="000001"/>
              <w:bottom w:val="single" w:sz="4" w:space="0" w:color="000001"/>
              <w:right w:val="nil"/>
            </w:tcBorders>
            <w:shd w:val="clear" w:color="auto" w:fill="FFFFFF"/>
            <w:vAlign w:val="center"/>
            <w:hideMark/>
          </w:tcPr>
          <w:p w:rsidR="00ED7F17" w:rsidRDefault="00274256">
            <w:hyperlink r:id="rId33" w:history="1">
              <w:r w:rsidR="00ED7F17">
                <w:rPr>
                  <w:rStyle w:val="ac"/>
                </w:rPr>
                <w:t>Приволжский район</w:t>
              </w:r>
            </w:hyperlink>
          </w:p>
        </w:tc>
        <w:tc>
          <w:tcPr>
            <w:tcW w:w="4031" w:type="dxa"/>
            <w:tcBorders>
              <w:top w:val="single" w:sz="4" w:space="0" w:color="000001"/>
              <w:left w:val="single" w:sz="4" w:space="0" w:color="000001"/>
              <w:bottom w:val="single" w:sz="4" w:space="0" w:color="000001"/>
              <w:right w:val="single" w:sz="4" w:space="0" w:color="000001"/>
            </w:tcBorders>
            <w:shd w:val="clear" w:color="auto" w:fill="FFFFFF"/>
            <w:vAlign w:val="center"/>
            <w:hideMark/>
          </w:tcPr>
          <w:p w:rsidR="00ED7F17" w:rsidRDefault="00ED7F17">
            <w:pPr>
              <w:jc w:val="center"/>
              <w:rPr>
                <w:rFonts w:ascii="Arial" w:eastAsia="Arial" w:hAnsi="Arial" w:cs="Arial"/>
                <w:sz w:val="22"/>
                <w:szCs w:val="22"/>
              </w:rPr>
            </w:pPr>
            <w:r>
              <w:t>51062</w:t>
            </w:r>
          </w:p>
        </w:tc>
      </w:tr>
      <w:tr w:rsidR="00ED7F17" w:rsidTr="00ED7F17">
        <w:tc>
          <w:tcPr>
            <w:tcW w:w="1525" w:type="dxa"/>
            <w:tcBorders>
              <w:top w:val="single" w:sz="4" w:space="0" w:color="000001"/>
              <w:left w:val="single" w:sz="4" w:space="0" w:color="000001"/>
              <w:bottom w:val="single" w:sz="4" w:space="0" w:color="000001"/>
              <w:right w:val="nil"/>
            </w:tcBorders>
            <w:shd w:val="clear" w:color="auto" w:fill="FFFFFF"/>
            <w:vAlign w:val="center"/>
            <w:hideMark/>
          </w:tcPr>
          <w:p w:rsidR="00ED7F17" w:rsidRDefault="00ED7F17">
            <w:pPr>
              <w:jc w:val="center"/>
              <w:rPr>
                <w:rFonts w:ascii="Arial" w:eastAsia="Arial" w:hAnsi="Arial" w:cs="Arial"/>
                <w:sz w:val="22"/>
                <w:szCs w:val="22"/>
              </w:rPr>
            </w:pPr>
            <w:r>
              <w:t>10</w:t>
            </w:r>
          </w:p>
        </w:tc>
        <w:tc>
          <w:tcPr>
            <w:tcW w:w="3969" w:type="dxa"/>
            <w:tcBorders>
              <w:top w:val="single" w:sz="4" w:space="0" w:color="000001"/>
              <w:left w:val="single" w:sz="4" w:space="0" w:color="000001"/>
              <w:bottom w:val="single" w:sz="4" w:space="0" w:color="000001"/>
              <w:right w:val="nil"/>
            </w:tcBorders>
            <w:shd w:val="clear" w:color="auto" w:fill="FFFFFF"/>
            <w:vAlign w:val="center"/>
            <w:hideMark/>
          </w:tcPr>
          <w:p w:rsidR="00ED7F17" w:rsidRDefault="00274256">
            <w:hyperlink r:id="rId34" w:history="1">
              <w:r w:rsidR="00ED7F17">
                <w:rPr>
                  <w:rStyle w:val="ac"/>
                </w:rPr>
                <w:t>Харабалинский район</w:t>
              </w:r>
            </w:hyperlink>
          </w:p>
        </w:tc>
        <w:tc>
          <w:tcPr>
            <w:tcW w:w="4031" w:type="dxa"/>
            <w:tcBorders>
              <w:top w:val="single" w:sz="4" w:space="0" w:color="000001"/>
              <w:left w:val="single" w:sz="4" w:space="0" w:color="000001"/>
              <w:bottom w:val="single" w:sz="4" w:space="0" w:color="000001"/>
              <w:right w:val="single" w:sz="4" w:space="0" w:color="000001"/>
            </w:tcBorders>
            <w:shd w:val="clear" w:color="auto" w:fill="FFFFFF"/>
            <w:vAlign w:val="center"/>
            <w:hideMark/>
          </w:tcPr>
          <w:p w:rsidR="00ED7F17" w:rsidRDefault="00ED7F17">
            <w:pPr>
              <w:jc w:val="center"/>
              <w:rPr>
                <w:rFonts w:ascii="Arial" w:eastAsia="Arial" w:hAnsi="Arial" w:cs="Arial"/>
                <w:sz w:val="22"/>
                <w:szCs w:val="22"/>
              </w:rPr>
            </w:pPr>
            <w:r>
              <w:t>40513</w:t>
            </w:r>
          </w:p>
        </w:tc>
      </w:tr>
      <w:tr w:rsidR="00ED7F17" w:rsidTr="00ED7F17">
        <w:tc>
          <w:tcPr>
            <w:tcW w:w="1525" w:type="dxa"/>
            <w:tcBorders>
              <w:top w:val="single" w:sz="4" w:space="0" w:color="000001"/>
              <w:left w:val="single" w:sz="4" w:space="0" w:color="000001"/>
              <w:bottom w:val="single" w:sz="4" w:space="0" w:color="000001"/>
              <w:right w:val="nil"/>
            </w:tcBorders>
            <w:shd w:val="clear" w:color="auto" w:fill="FFFFFF"/>
            <w:vAlign w:val="center"/>
            <w:hideMark/>
          </w:tcPr>
          <w:p w:rsidR="00ED7F17" w:rsidRDefault="00ED7F17">
            <w:pPr>
              <w:jc w:val="center"/>
              <w:rPr>
                <w:rFonts w:ascii="Arial" w:eastAsia="Arial" w:hAnsi="Arial" w:cs="Arial"/>
                <w:sz w:val="22"/>
                <w:szCs w:val="22"/>
              </w:rPr>
            </w:pPr>
            <w:r>
              <w:t>11</w:t>
            </w:r>
          </w:p>
        </w:tc>
        <w:tc>
          <w:tcPr>
            <w:tcW w:w="3969" w:type="dxa"/>
            <w:tcBorders>
              <w:top w:val="single" w:sz="4" w:space="0" w:color="000001"/>
              <w:left w:val="single" w:sz="4" w:space="0" w:color="000001"/>
              <w:bottom w:val="single" w:sz="4" w:space="0" w:color="000001"/>
              <w:right w:val="nil"/>
            </w:tcBorders>
            <w:shd w:val="clear" w:color="auto" w:fill="FFFFFF"/>
            <w:vAlign w:val="center"/>
            <w:hideMark/>
          </w:tcPr>
          <w:p w:rsidR="00ED7F17" w:rsidRDefault="00274256">
            <w:hyperlink r:id="rId35" w:history="1">
              <w:r w:rsidR="00ED7F17">
                <w:rPr>
                  <w:rStyle w:val="ac"/>
                </w:rPr>
                <w:t>Черноярский район</w:t>
              </w:r>
            </w:hyperlink>
          </w:p>
        </w:tc>
        <w:tc>
          <w:tcPr>
            <w:tcW w:w="4031" w:type="dxa"/>
            <w:tcBorders>
              <w:top w:val="single" w:sz="4" w:space="0" w:color="000001"/>
              <w:left w:val="single" w:sz="4" w:space="0" w:color="000001"/>
              <w:bottom w:val="single" w:sz="4" w:space="0" w:color="000001"/>
              <w:right w:val="single" w:sz="4" w:space="0" w:color="000001"/>
            </w:tcBorders>
            <w:shd w:val="clear" w:color="auto" w:fill="FFFFFF"/>
            <w:vAlign w:val="center"/>
            <w:hideMark/>
          </w:tcPr>
          <w:p w:rsidR="00ED7F17" w:rsidRDefault="00ED7F17">
            <w:pPr>
              <w:jc w:val="center"/>
              <w:rPr>
                <w:rFonts w:ascii="Arial" w:eastAsia="Arial" w:hAnsi="Arial" w:cs="Arial"/>
                <w:sz w:val="22"/>
                <w:szCs w:val="22"/>
              </w:rPr>
            </w:pPr>
            <w:r>
              <w:t>19118</w:t>
            </w:r>
          </w:p>
        </w:tc>
      </w:tr>
    </w:tbl>
    <w:p w:rsidR="00ED7F17" w:rsidRDefault="00ED7F17" w:rsidP="00ED7F17">
      <w:pPr>
        <w:pStyle w:val="17"/>
        <w:widowControl w:val="0"/>
        <w:spacing w:after="0" w:line="240" w:lineRule="auto"/>
        <w:ind w:left="0"/>
        <w:jc w:val="both"/>
        <w:rPr>
          <w:rFonts w:ascii="Times New Roman" w:hAnsi="Times New Roman" w:cs="Times New Roman"/>
          <w:b/>
          <w:i/>
        </w:rPr>
      </w:pPr>
    </w:p>
    <w:p w:rsidR="00ED7F17" w:rsidRDefault="00ED7F17" w:rsidP="00ED7F17">
      <w:pPr>
        <w:pStyle w:val="17"/>
        <w:spacing w:after="0"/>
        <w:jc w:val="center"/>
        <w:rPr>
          <w:rFonts w:ascii="Times New Roman" w:hAnsi="Times New Roman" w:cs="Times New Roman"/>
          <w:b/>
          <w:i/>
        </w:rPr>
      </w:pPr>
    </w:p>
    <w:p w:rsidR="00460D8B" w:rsidRDefault="00460D8B">
      <w:pPr>
        <w:suppressAutoHyphens w:val="0"/>
        <w:overflowPunct/>
        <w:rPr>
          <w:rFonts w:eastAsia="Cambria"/>
          <w:b/>
        </w:rPr>
      </w:pPr>
      <w:r>
        <w:rPr>
          <w:b/>
        </w:rPr>
        <w:br w:type="page"/>
      </w:r>
    </w:p>
    <w:p w:rsidR="00ED7F17" w:rsidRDefault="00ED7F17" w:rsidP="00ED7F17">
      <w:pPr>
        <w:pStyle w:val="17"/>
        <w:spacing w:after="0"/>
        <w:ind w:left="0"/>
        <w:jc w:val="center"/>
      </w:pPr>
      <w:r>
        <w:rPr>
          <w:rFonts w:ascii="Times New Roman" w:hAnsi="Times New Roman" w:cs="Times New Roman"/>
          <w:b/>
        </w:rPr>
        <w:lastRenderedPageBreak/>
        <w:t>Административная карта Астраханской области</w:t>
      </w:r>
    </w:p>
    <w:p w:rsidR="00ED7F17" w:rsidRDefault="00ED7F17" w:rsidP="00ED7F17">
      <w:pPr>
        <w:pStyle w:val="17"/>
        <w:spacing w:after="0"/>
        <w:jc w:val="center"/>
        <w:rPr>
          <w:rFonts w:ascii="Times New Roman" w:hAnsi="Times New Roman" w:cs="Times New Roman"/>
          <w:b/>
          <w:i/>
        </w:rPr>
      </w:pPr>
    </w:p>
    <w:p w:rsidR="00ED7F17" w:rsidRDefault="00ED7F17" w:rsidP="00ED7F17">
      <w:pPr>
        <w:pStyle w:val="17"/>
        <w:spacing w:after="0"/>
        <w:jc w:val="center"/>
        <w:rPr>
          <w:rFonts w:ascii="Times New Roman" w:eastAsia="Times New Roman" w:hAnsi="Times New Roman" w:cs="Times New Roman"/>
          <w:b/>
          <w:bCs/>
          <w:i/>
        </w:rPr>
      </w:pPr>
      <w:r>
        <w:rPr>
          <w:rFonts w:ascii="Times New Roman" w:hAnsi="Times New Roman" w:cs="Times New Roman"/>
          <w:b/>
          <w:i/>
          <w:noProof/>
          <w:lang w:eastAsia="ru-RU"/>
        </w:rPr>
        <w:drawing>
          <wp:inline distT="0" distB="0" distL="0" distR="0">
            <wp:extent cx="4244340" cy="520446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6">
                      <a:extLst>
                        <a:ext uri="{28A0092B-C50C-407E-A947-70E740481C1C}">
                          <a14:useLocalDpi xmlns:a14="http://schemas.microsoft.com/office/drawing/2010/main" val="0"/>
                        </a:ext>
                      </a:extLst>
                    </a:blip>
                    <a:srcRect l="-75" t="-49" r="-75" b="-49"/>
                    <a:stretch>
                      <a:fillRect/>
                    </a:stretch>
                  </pic:blipFill>
                  <pic:spPr bwMode="auto">
                    <a:xfrm>
                      <a:off x="0" y="0"/>
                      <a:ext cx="4244340" cy="5204460"/>
                    </a:xfrm>
                    <a:prstGeom prst="rect">
                      <a:avLst/>
                    </a:prstGeom>
                    <a:solidFill>
                      <a:srgbClr val="FFFFFF"/>
                    </a:solidFill>
                    <a:ln>
                      <a:noFill/>
                    </a:ln>
                  </pic:spPr>
                </pic:pic>
              </a:graphicData>
            </a:graphic>
          </wp:inline>
        </w:drawing>
      </w:r>
    </w:p>
    <w:p w:rsidR="00ED7F17" w:rsidRDefault="00ED7F17" w:rsidP="00ED7F17">
      <w:pPr>
        <w:spacing w:before="72"/>
        <w:jc w:val="center"/>
        <w:rPr>
          <w:b/>
          <w:bCs/>
          <w:i/>
        </w:rPr>
      </w:pPr>
    </w:p>
    <w:p w:rsidR="00ED7F17" w:rsidRDefault="00ED7F17" w:rsidP="00ED7F17">
      <w:pPr>
        <w:pStyle w:val="17"/>
        <w:widowControl w:val="0"/>
        <w:spacing w:after="0" w:line="240" w:lineRule="auto"/>
        <w:ind w:left="0"/>
        <w:jc w:val="center"/>
      </w:pPr>
      <w:r>
        <w:rPr>
          <w:rFonts w:ascii="Times New Roman" w:hAnsi="Times New Roman" w:cs="Times New Roman"/>
          <w:b/>
        </w:rPr>
        <w:t xml:space="preserve">Транспортная сеть </w:t>
      </w:r>
    </w:p>
    <w:p w:rsidR="00ED7F17" w:rsidRDefault="00ED7F17" w:rsidP="00ED7F17">
      <w:pPr>
        <w:pStyle w:val="17"/>
        <w:widowControl w:val="0"/>
        <w:numPr>
          <w:ilvl w:val="0"/>
          <w:numId w:val="4"/>
        </w:numPr>
        <w:spacing w:after="0" w:line="240" w:lineRule="auto"/>
        <w:ind w:firstLine="454"/>
        <w:jc w:val="both"/>
      </w:pPr>
      <w:r>
        <w:rPr>
          <w:rFonts w:ascii="Times New Roman" w:hAnsi="Times New Roman" w:cs="Times New Roman"/>
        </w:rPr>
        <w:t>Расположение Астраханской области на перекрестке торговых путей создало в регионе хорошо развитую</w:t>
      </w:r>
      <w:r>
        <w:rPr>
          <w:rFonts w:ascii="Times New Roman" w:hAnsi="Times New Roman" w:cs="Times New Roman"/>
          <w:b/>
          <w:i/>
        </w:rPr>
        <w:t xml:space="preserve"> </w:t>
      </w:r>
      <w:r>
        <w:rPr>
          <w:rFonts w:ascii="Times New Roman" w:hAnsi="Times New Roman" w:cs="Times New Roman"/>
        </w:rPr>
        <w:t>транспортную инфраструктуру. Астраханская область является стратегически важным транспортным узлом, где пересекаются Каспийские морские и Волжские речные пути с железнодорожными и автомобильными трассами России. Астраханский транспортный узел расположен на кратчайшем пути, связывающем Европу через Россию со странами Западной и Средней Азии, Индией и Пакистаном, странами Индийского океана.</w:t>
      </w:r>
      <w:r>
        <w:rPr>
          <w:rStyle w:val="afff0"/>
        </w:rPr>
        <w:t xml:space="preserve"> </w:t>
      </w:r>
      <w:r>
        <w:rPr>
          <w:rFonts w:ascii="Times New Roman" w:hAnsi="Times New Roman" w:cs="Times New Roman"/>
          <w:highlight w:val="white"/>
        </w:rPr>
        <w:t xml:space="preserve">Протяжённость железных дорог— 849 км, автомобильных дорог с твёрдым покрытием— 4031 км, речных путей — 1443 км. </w:t>
      </w:r>
    </w:p>
    <w:p w:rsidR="00ED7F17" w:rsidRDefault="00ED7F17" w:rsidP="00ED7F17">
      <w:pPr>
        <w:numPr>
          <w:ilvl w:val="0"/>
          <w:numId w:val="4"/>
        </w:numPr>
        <w:overflowPunct/>
        <w:ind w:firstLine="709"/>
        <w:jc w:val="both"/>
        <w:rPr>
          <w:highlight w:val="white"/>
        </w:rPr>
      </w:pPr>
    </w:p>
    <w:p w:rsidR="00ED7F17" w:rsidRDefault="00ED7F17" w:rsidP="00ED7F17">
      <w:pPr>
        <w:pStyle w:val="16"/>
        <w:numPr>
          <w:ilvl w:val="0"/>
          <w:numId w:val="4"/>
        </w:numPr>
        <w:spacing w:before="0" w:after="0"/>
        <w:ind w:firstLine="709"/>
        <w:jc w:val="center"/>
      </w:pPr>
      <w:r>
        <w:rPr>
          <w:rStyle w:val="afff0"/>
        </w:rPr>
        <w:t>Автомобильные дороги Астраханской области</w:t>
      </w:r>
    </w:p>
    <w:p w:rsidR="00ED7F17" w:rsidRDefault="00ED7F17" w:rsidP="00ED7F17">
      <w:pPr>
        <w:numPr>
          <w:ilvl w:val="0"/>
          <w:numId w:val="4"/>
        </w:numPr>
        <w:overflowPunct/>
        <w:ind w:firstLine="709"/>
        <w:jc w:val="both"/>
      </w:pPr>
      <w:r>
        <w:t>Большое значение в транспортной инфраструктуре при этом имеют автомобильные трассы – Астрахань – Москва, Астрахань – Элиста, Астрахань – Махачкала и Астрахань – Красный Яр – Атырау.</w:t>
      </w:r>
    </w:p>
    <w:p w:rsidR="00ED7F17" w:rsidRDefault="00ED7F17" w:rsidP="00ED7F17">
      <w:pPr>
        <w:pStyle w:val="16"/>
        <w:numPr>
          <w:ilvl w:val="0"/>
          <w:numId w:val="4"/>
        </w:numPr>
        <w:spacing w:before="0" w:after="0"/>
        <w:ind w:firstLine="709"/>
        <w:jc w:val="both"/>
      </w:pPr>
      <w:r>
        <w:t>Основные шоссе федерального значения:</w:t>
      </w:r>
    </w:p>
    <w:p w:rsidR="00ED7F17" w:rsidRDefault="00ED7F17" w:rsidP="00ED7F17">
      <w:pPr>
        <w:numPr>
          <w:ilvl w:val="0"/>
          <w:numId w:val="4"/>
        </w:numPr>
        <w:overflowPunct/>
        <w:ind w:firstLine="709"/>
        <w:jc w:val="both"/>
      </w:pPr>
      <w:r>
        <w:t>- федеральная автодорога «Каспий» (Р22, бывшая М6): 1400-километровая трасса от Москвы до Астрахани через Тамбов, Борисоглебск и Волгоград с подъездами к Элисте и Саратову;</w:t>
      </w:r>
    </w:p>
    <w:p w:rsidR="00ED7F17" w:rsidRDefault="00ED7F17" w:rsidP="00ED7F17">
      <w:pPr>
        <w:numPr>
          <w:ilvl w:val="0"/>
          <w:numId w:val="4"/>
        </w:numPr>
        <w:overflowPunct/>
        <w:ind w:firstLine="709"/>
        <w:jc w:val="both"/>
      </w:pPr>
      <w:r>
        <w:t>- двухполосная дорога федерального значения Р215: связывает Астрахань с Махачкалой, идет через Кочубей и Кизляр;</w:t>
      </w:r>
    </w:p>
    <w:p w:rsidR="00ED7F17" w:rsidRDefault="00ED7F17" w:rsidP="00ED7F17">
      <w:pPr>
        <w:numPr>
          <w:ilvl w:val="0"/>
          <w:numId w:val="4"/>
        </w:numPr>
        <w:overflowPunct/>
        <w:ind w:firstLine="709"/>
        <w:jc w:val="both"/>
      </w:pPr>
      <w:r>
        <w:t>- шоссе федерального значения Р216: автомобильная магистраль, соединяющая Ставрополь с Астраханью через Элисту.</w:t>
      </w:r>
    </w:p>
    <w:p w:rsidR="00ED7F17" w:rsidRDefault="00ED7F17" w:rsidP="00ED7F17">
      <w:pPr>
        <w:numPr>
          <w:ilvl w:val="0"/>
          <w:numId w:val="4"/>
        </w:numPr>
        <w:overflowPunct/>
        <w:ind w:firstLine="709"/>
        <w:jc w:val="both"/>
      </w:pPr>
      <w:r>
        <w:rPr>
          <w:highlight w:val="white"/>
        </w:rPr>
        <w:t>Протяжённость автомобильных дорог с твёрдым покрытием— 4031 км.</w:t>
      </w:r>
    </w:p>
    <w:p w:rsidR="00ED7F17" w:rsidRDefault="00ED7F17" w:rsidP="00ED7F17">
      <w:pPr>
        <w:numPr>
          <w:ilvl w:val="0"/>
          <w:numId w:val="4"/>
        </w:numPr>
        <w:overflowPunct/>
        <w:ind w:firstLine="709"/>
        <w:jc w:val="both"/>
      </w:pPr>
    </w:p>
    <w:p w:rsidR="00ED7F17" w:rsidRDefault="00ED7F17" w:rsidP="00ED7F17">
      <w:pPr>
        <w:pStyle w:val="16"/>
        <w:numPr>
          <w:ilvl w:val="0"/>
          <w:numId w:val="4"/>
        </w:numPr>
        <w:spacing w:before="0" w:after="0"/>
        <w:jc w:val="center"/>
      </w:pPr>
      <w:r>
        <w:rPr>
          <w:rStyle w:val="afff0"/>
        </w:rPr>
        <w:t>Железные дороги Астраханской области</w:t>
      </w:r>
    </w:p>
    <w:p w:rsidR="00ED7F17" w:rsidRDefault="00ED7F17" w:rsidP="00ED7F17">
      <w:pPr>
        <w:pStyle w:val="16"/>
        <w:numPr>
          <w:ilvl w:val="0"/>
          <w:numId w:val="4"/>
        </w:numPr>
        <w:tabs>
          <w:tab w:val="left" w:pos="242"/>
        </w:tabs>
        <w:spacing w:before="0" w:after="0"/>
        <w:ind w:firstLine="709"/>
        <w:jc w:val="both"/>
      </w:pPr>
      <w:r>
        <w:t xml:space="preserve">Железные дороги региона обслуживаются Приволжской железной дорогой. Астраханская часть Приволжской железной дороги связывает Астрахань с другими областными центрами России и Северным Кавказом. Основные железнодорожные узлы: Астрахань и Баскунчак. В этих населенных пунктах находятся единственные локомотивные депо региона. </w:t>
      </w:r>
    </w:p>
    <w:p w:rsidR="00ED7F17" w:rsidRDefault="00ED7F17" w:rsidP="00ED7F17">
      <w:pPr>
        <w:pStyle w:val="16"/>
        <w:numPr>
          <w:ilvl w:val="0"/>
          <w:numId w:val="4"/>
        </w:numPr>
        <w:tabs>
          <w:tab w:val="left" w:pos="242"/>
        </w:tabs>
        <w:spacing w:before="0" w:after="0"/>
        <w:ind w:firstLine="709"/>
        <w:jc w:val="both"/>
      </w:pPr>
    </w:p>
    <w:p w:rsidR="00ED7F17" w:rsidRDefault="00ED7F17" w:rsidP="00ED7F17">
      <w:pPr>
        <w:pStyle w:val="16"/>
        <w:numPr>
          <w:ilvl w:val="0"/>
          <w:numId w:val="4"/>
        </w:numPr>
        <w:spacing w:before="0" w:after="0"/>
        <w:ind w:firstLine="709"/>
        <w:jc w:val="center"/>
      </w:pPr>
      <w:r>
        <w:rPr>
          <w:highlight w:val="white"/>
        </w:rPr>
        <w:t>Речные пути</w:t>
      </w:r>
      <w:r>
        <w:t xml:space="preserve"> Астраханкой области</w:t>
      </w:r>
    </w:p>
    <w:p w:rsidR="00ED7F17" w:rsidRDefault="00ED7F17" w:rsidP="00ED7F17">
      <w:pPr>
        <w:pStyle w:val="16"/>
        <w:numPr>
          <w:ilvl w:val="0"/>
          <w:numId w:val="4"/>
        </w:numPr>
        <w:spacing w:before="0" w:after="0"/>
        <w:ind w:firstLine="709"/>
        <w:jc w:val="both"/>
      </w:pPr>
      <w:r>
        <w:rPr>
          <w:highlight w:val="white"/>
        </w:rPr>
        <w:t xml:space="preserve">Главные судоходные реки: </w:t>
      </w:r>
      <w:hyperlink r:id="rId37" w:history="1">
        <w:r>
          <w:rPr>
            <w:rStyle w:val="ac"/>
            <w:highlight w:val="white"/>
          </w:rPr>
          <w:t>Волга</w:t>
        </w:r>
      </w:hyperlink>
      <w:r>
        <w:rPr>
          <w:highlight w:val="white"/>
        </w:rPr>
        <w:t xml:space="preserve">, </w:t>
      </w:r>
      <w:hyperlink r:id="rId38" w:history="1">
        <w:r>
          <w:rPr>
            <w:rStyle w:val="ac"/>
            <w:highlight w:val="white"/>
          </w:rPr>
          <w:t>Бахтемир</w:t>
        </w:r>
      </w:hyperlink>
      <w:r>
        <w:rPr>
          <w:highlight w:val="white"/>
        </w:rPr>
        <w:t xml:space="preserve">, </w:t>
      </w:r>
      <w:hyperlink r:id="rId39" w:history="1">
        <w:r>
          <w:rPr>
            <w:rStyle w:val="ac"/>
            <w:highlight w:val="white"/>
          </w:rPr>
          <w:t>Бузан</w:t>
        </w:r>
      </w:hyperlink>
      <w:r>
        <w:rPr>
          <w:highlight w:val="white"/>
        </w:rPr>
        <w:t xml:space="preserve">, </w:t>
      </w:r>
      <w:hyperlink r:id="rId40" w:history="1">
        <w:r>
          <w:rPr>
            <w:rStyle w:val="ac"/>
            <w:highlight w:val="white"/>
          </w:rPr>
          <w:t>Болда</w:t>
        </w:r>
      </w:hyperlink>
      <w:r>
        <w:rPr>
          <w:highlight w:val="white"/>
        </w:rPr>
        <w:t xml:space="preserve">, </w:t>
      </w:r>
      <w:hyperlink r:id="rId41" w:history="1">
        <w:r>
          <w:rPr>
            <w:rStyle w:val="ac"/>
            <w:highlight w:val="white"/>
          </w:rPr>
          <w:t>Ахтуба</w:t>
        </w:r>
      </w:hyperlink>
      <w:r>
        <w:rPr>
          <w:highlight w:val="white"/>
        </w:rPr>
        <w:t xml:space="preserve">, </w:t>
      </w:r>
      <w:hyperlink r:id="rId42" w:history="1">
        <w:r>
          <w:rPr>
            <w:rStyle w:val="ac"/>
            <w:highlight w:val="white"/>
          </w:rPr>
          <w:t>Кизань</w:t>
        </w:r>
      </w:hyperlink>
      <w:r>
        <w:rPr>
          <w:highlight w:val="white"/>
        </w:rPr>
        <w:t xml:space="preserve">, </w:t>
      </w:r>
      <w:hyperlink r:id="rId43" w:history="1">
        <w:r>
          <w:rPr>
            <w:rStyle w:val="ac"/>
            <w:highlight w:val="white"/>
          </w:rPr>
          <w:t>Царёв</w:t>
        </w:r>
      </w:hyperlink>
      <w:r>
        <w:rPr>
          <w:highlight w:val="white"/>
        </w:rPr>
        <w:t xml:space="preserve">. Период </w:t>
      </w:r>
      <w:hyperlink r:id="rId44" w:history="1">
        <w:r>
          <w:rPr>
            <w:rStyle w:val="ac"/>
            <w:highlight w:val="white"/>
          </w:rPr>
          <w:t>ледостава</w:t>
        </w:r>
      </w:hyperlink>
      <w:r>
        <w:rPr>
          <w:highlight w:val="white"/>
        </w:rPr>
        <w:t xml:space="preserve"> обычно 2—3 месяца в году, иногда - до 4-х месяцев, в особо тёплые зимы главные судоходные реки не замерзают совсем. В городе </w:t>
      </w:r>
      <w:hyperlink r:id="rId45" w:history="1">
        <w:r>
          <w:rPr>
            <w:rStyle w:val="ac"/>
            <w:highlight w:val="white"/>
          </w:rPr>
          <w:t>Астрахани</w:t>
        </w:r>
      </w:hyperlink>
      <w:r>
        <w:rPr>
          <w:highlight w:val="white"/>
        </w:rPr>
        <w:t xml:space="preserve"> и в посёлке </w:t>
      </w:r>
      <w:hyperlink r:id="rId46" w:history="1">
        <w:r>
          <w:rPr>
            <w:rStyle w:val="ac"/>
            <w:highlight w:val="white"/>
          </w:rPr>
          <w:t>Оля</w:t>
        </w:r>
      </w:hyperlink>
      <w:r>
        <w:rPr>
          <w:highlight w:val="white"/>
        </w:rPr>
        <w:t xml:space="preserve"> функционируют морские </w:t>
      </w:r>
      <w:hyperlink r:id="rId47" w:history="1">
        <w:r>
          <w:rPr>
            <w:rStyle w:val="ac"/>
            <w:highlight w:val="white"/>
          </w:rPr>
          <w:t>порты</w:t>
        </w:r>
      </w:hyperlink>
      <w:r>
        <w:rPr>
          <w:highlight w:val="white"/>
        </w:rPr>
        <w:t xml:space="preserve">. По дну моря прорыт </w:t>
      </w:r>
      <w:hyperlink r:id="rId48" w:history="1">
        <w:r>
          <w:rPr>
            <w:rStyle w:val="ac"/>
            <w:highlight w:val="white"/>
          </w:rPr>
          <w:t>Волго-Каспийский канал</w:t>
        </w:r>
      </w:hyperlink>
      <w:r>
        <w:rPr>
          <w:highlight w:val="white"/>
        </w:rPr>
        <w:t xml:space="preserve"> (длиной 188 км и глубиной 5 м), связывающий </w:t>
      </w:r>
      <w:hyperlink r:id="rId49" w:history="1">
        <w:r>
          <w:rPr>
            <w:rStyle w:val="ac"/>
            <w:highlight w:val="white"/>
          </w:rPr>
          <w:t>Бахтемир</w:t>
        </w:r>
      </w:hyperlink>
      <w:r>
        <w:rPr>
          <w:highlight w:val="white"/>
        </w:rPr>
        <w:t xml:space="preserve"> с глубоководной частью Каспийского моря. Между портами </w:t>
      </w:r>
      <w:hyperlink r:id="rId50" w:history="1">
        <w:r>
          <w:rPr>
            <w:rStyle w:val="ac"/>
            <w:highlight w:val="white"/>
          </w:rPr>
          <w:t>Оля</w:t>
        </w:r>
      </w:hyperlink>
      <w:r>
        <w:rPr>
          <w:highlight w:val="white"/>
        </w:rPr>
        <w:t xml:space="preserve"> и </w:t>
      </w:r>
      <w:hyperlink r:id="rId51" w:history="1">
        <w:r>
          <w:rPr>
            <w:rStyle w:val="ac"/>
            <w:highlight w:val="white"/>
          </w:rPr>
          <w:t>Гилян</w:t>
        </w:r>
      </w:hyperlink>
      <w:r>
        <w:rPr>
          <w:highlight w:val="white"/>
        </w:rPr>
        <w:t xml:space="preserve"> (</w:t>
      </w:r>
      <w:hyperlink r:id="rId52" w:history="1">
        <w:r>
          <w:rPr>
            <w:rStyle w:val="ac"/>
            <w:highlight w:val="white"/>
          </w:rPr>
          <w:t>Иран</w:t>
        </w:r>
      </w:hyperlink>
      <w:r>
        <w:rPr>
          <w:highlight w:val="white"/>
        </w:rPr>
        <w:t>) существует регулярное морское паромное сообщение</w:t>
      </w:r>
    </w:p>
    <w:p w:rsidR="00ED7F17" w:rsidRDefault="00ED7F17" w:rsidP="00ED7F17">
      <w:pPr>
        <w:pStyle w:val="16"/>
        <w:numPr>
          <w:ilvl w:val="0"/>
          <w:numId w:val="4"/>
        </w:numPr>
        <w:spacing w:before="0" w:after="0"/>
        <w:ind w:firstLine="709"/>
        <w:jc w:val="center"/>
      </w:pPr>
      <w:r>
        <w:t>Воздушные пути Астраханской области</w:t>
      </w:r>
    </w:p>
    <w:p w:rsidR="00ED7F17" w:rsidRDefault="00ED7F17" w:rsidP="00ED7F17">
      <w:pPr>
        <w:pStyle w:val="16"/>
        <w:numPr>
          <w:ilvl w:val="0"/>
          <w:numId w:val="4"/>
        </w:numPr>
        <w:spacing w:before="0" w:after="0"/>
        <w:ind w:firstLine="709"/>
        <w:jc w:val="both"/>
      </w:pPr>
      <w:r>
        <w:rPr>
          <w:highlight w:val="white"/>
        </w:rPr>
        <w:t xml:space="preserve">В Астрахани действует международный </w:t>
      </w:r>
      <w:hyperlink r:id="rId53" w:history="1">
        <w:r>
          <w:rPr>
            <w:rStyle w:val="ac"/>
            <w:highlight w:val="white"/>
          </w:rPr>
          <w:t xml:space="preserve"> аэропорт</w:t>
        </w:r>
      </w:hyperlink>
      <w:r>
        <w:rPr>
          <w:highlight w:val="white"/>
        </w:rPr>
        <w:t>.</w:t>
      </w:r>
    </w:p>
    <w:p w:rsidR="00ED7F17" w:rsidRDefault="00ED7F17" w:rsidP="00ED7F17">
      <w:pPr>
        <w:ind w:firstLine="708"/>
        <w:rPr>
          <w:b/>
          <w:color w:val="000000"/>
          <w:highlight w:val="white"/>
          <w:lang w:bidi="ru-RU"/>
        </w:rPr>
      </w:pPr>
    </w:p>
    <w:p w:rsidR="00ED7F17" w:rsidRDefault="00ED7F17" w:rsidP="00ED7F17">
      <w:pPr>
        <w:tabs>
          <w:tab w:val="left" w:pos="2377"/>
        </w:tabs>
        <w:ind w:firstLine="709"/>
        <w:rPr>
          <w:rFonts w:ascii="Arial" w:hAnsi="Arial" w:cs="Arial"/>
          <w:sz w:val="22"/>
          <w:szCs w:val="22"/>
        </w:rPr>
      </w:pPr>
      <w:r>
        <w:rPr>
          <w:b/>
          <w:highlight w:val="white"/>
        </w:rPr>
        <w:t>1.2. Анализ смертности от сердечно-сосудистых заболеваний</w:t>
      </w:r>
    </w:p>
    <w:p w:rsidR="00ED7F17" w:rsidRDefault="00ED7F17" w:rsidP="00ED7F17">
      <w:pPr>
        <w:tabs>
          <w:tab w:val="left" w:pos="2377"/>
        </w:tabs>
        <w:jc w:val="center"/>
      </w:pPr>
    </w:p>
    <w:p w:rsidR="00ED7F17" w:rsidRDefault="00ED7F17" w:rsidP="00ED7F17">
      <w:pPr>
        <w:tabs>
          <w:tab w:val="left" w:pos="2377"/>
        </w:tabs>
        <w:jc w:val="center"/>
        <w:rPr>
          <w:rFonts w:ascii="Arial" w:hAnsi="Arial" w:cs="Arial"/>
          <w:sz w:val="22"/>
          <w:szCs w:val="22"/>
        </w:rPr>
      </w:pPr>
      <w:r>
        <w:t>Характеристика населения</w:t>
      </w:r>
    </w:p>
    <w:p w:rsidR="00ED7F17" w:rsidRDefault="00ED7F17" w:rsidP="00ED7F17">
      <w:pPr>
        <w:ind w:firstLine="709"/>
        <w:jc w:val="both"/>
      </w:pPr>
      <w:r>
        <w:rPr>
          <w:highlight w:val="white"/>
        </w:rPr>
        <w:t xml:space="preserve">Численность населения области по данным Астраханьстат на 01.01.2019 года составляет </w:t>
      </w:r>
      <w:r>
        <w:rPr>
          <w:bCs/>
          <w:highlight w:val="white"/>
        </w:rPr>
        <w:t xml:space="preserve">1014065 </w:t>
      </w:r>
      <w:r>
        <w:rPr>
          <w:highlight w:val="white"/>
        </w:rPr>
        <w:t xml:space="preserve">человек. </w:t>
      </w:r>
      <w:r>
        <w:t>С 2014 года население сократилось на 7,2 тыс. человек.</w:t>
      </w:r>
    </w:p>
    <w:p w:rsidR="00ED7F17" w:rsidRDefault="00ED7F17" w:rsidP="00ED7F17">
      <w:pPr>
        <w:ind w:firstLine="709"/>
        <w:jc w:val="both"/>
      </w:pPr>
      <w:r>
        <w:t xml:space="preserve">Астраханская область </w:t>
      </w:r>
      <w:r>
        <w:rPr>
          <w:color w:val="000000"/>
        </w:rPr>
        <w:t>по административно - территориальному делению состоит из 2 городских округов (г. Астрахань и закрытое административное территориальное образование Знаменск (далее- ЗАТО Знаменск)) и 11 районов.</w:t>
      </w:r>
    </w:p>
    <w:p w:rsidR="00ED7F17" w:rsidRDefault="00ED7F17" w:rsidP="00ED7F17">
      <w:pPr>
        <w:ind w:firstLine="709"/>
        <w:jc w:val="both"/>
      </w:pPr>
      <w:r>
        <w:rPr>
          <w:color w:val="000000"/>
        </w:rPr>
        <w:t xml:space="preserve">Согласно данным Астраханьстат </w:t>
      </w:r>
      <w:r>
        <w:t xml:space="preserve">доля населения области, проживающего в городских населенных пунктах составляет 66,8% (677060 человек), доля сельского населения – 33,2% (337005 человек). Возрастная структура населения 2018 года следующая: </w:t>
      </w:r>
      <w:r>
        <w:rPr>
          <w:color w:val="000000"/>
        </w:rPr>
        <w:t>дети до 17 лет – 227684 человека, что составляет 22,5% от общей численности, взрослое население старше 18 лет – 786381 человек – 77,5%.  Количество населения трудоспособного возраста в 2018 году составило 556510 человек или 56,4% от общей численности населения, старше трудоспособного возраста – 249852 человек или 24,6%, младше - 207703 человека (20,5%). За период с 2014 по 2018 годы количество трудоспособного населения уменьшилось на 36,8 тысячи человек, при этом население старше трудоспособного возраста увеличилось на 18 тысяч.</w:t>
      </w:r>
    </w:p>
    <w:p w:rsidR="00ED7F17" w:rsidRDefault="00ED7F17" w:rsidP="00ED7F17">
      <w:pPr>
        <w:tabs>
          <w:tab w:val="left" w:pos="360"/>
        </w:tabs>
        <w:suppressAutoHyphens w:val="0"/>
        <w:spacing w:after="160"/>
        <w:ind w:firstLine="709"/>
        <w:contextualSpacing/>
        <w:jc w:val="both"/>
      </w:pPr>
      <w:r>
        <w:rPr>
          <w:rFonts w:eastAsia="Cambria"/>
          <w:color w:val="000000"/>
          <w:lang w:val="x-none" w:eastAsia="en-US"/>
        </w:rPr>
        <w:t xml:space="preserve">Количество мужчин в 2018 году по области составляло </w:t>
      </w:r>
      <w:r>
        <w:rPr>
          <w:rFonts w:eastAsia="Cambria"/>
          <w:color w:val="000000"/>
          <w:lang w:eastAsia="en-US"/>
        </w:rPr>
        <w:t>478321</w:t>
      </w:r>
      <w:r>
        <w:rPr>
          <w:rFonts w:eastAsia="Cambria"/>
          <w:color w:val="000000"/>
          <w:lang w:val="x-none" w:eastAsia="en-US"/>
        </w:rPr>
        <w:t xml:space="preserve"> человек или </w:t>
      </w:r>
      <w:r>
        <w:rPr>
          <w:rFonts w:eastAsia="Cambria"/>
          <w:color w:val="000000"/>
          <w:lang w:eastAsia="en-US"/>
        </w:rPr>
        <w:t>47,1</w:t>
      </w:r>
      <w:r>
        <w:rPr>
          <w:rFonts w:eastAsia="Cambria"/>
          <w:color w:val="000000"/>
          <w:lang w:val="x-none" w:eastAsia="en-US"/>
        </w:rPr>
        <w:t xml:space="preserve">%, женщин - </w:t>
      </w:r>
      <w:r>
        <w:rPr>
          <w:rFonts w:eastAsia="Cambria"/>
          <w:color w:val="000000"/>
          <w:lang w:eastAsia="en-US"/>
        </w:rPr>
        <w:t>535744</w:t>
      </w:r>
      <w:r>
        <w:rPr>
          <w:rFonts w:eastAsia="Cambria"/>
          <w:color w:val="000000"/>
          <w:lang w:val="x-none" w:eastAsia="en-US"/>
        </w:rPr>
        <w:t xml:space="preserve"> человек</w:t>
      </w:r>
      <w:r>
        <w:rPr>
          <w:rFonts w:eastAsia="Cambria"/>
          <w:color w:val="000000"/>
          <w:lang w:eastAsia="en-US"/>
        </w:rPr>
        <w:t>а</w:t>
      </w:r>
      <w:r>
        <w:rPr>
          <w:rFonts w:eastAsia="Cambria"/>
          <w:color w:val="000000"/>
          <w:lang w:val="x-none" w:eastAsia="en-US"/>
        </w:rPr>
        <w:t xml:space="preserve"> (52,9%).</w:t>
      </w:r>
    </w:p>
    <w:p w:rsidR="00ED7F17" w:rsidRDefault="00ED7F17" w:rsidP="00ED7F17">
      <w:pPr>
        <w:ind w:firstLine="709"/>
        <w:jc w:val="both"/>
      </w:pPr>
      <w:r>
        <w:rPr>
          <w:color w:val="000000"/>
        </w:rPr>
        <w:t>За последние 10 лет ожидаемая продолжительность жизни выросла с 67,97 до 73,35 лет в 2017 году, что выше показателя по РФ – 72,7 и ЮФО - 73,16.</w:t>
      </w:r>
    </w:p>
    <w:p w:rsidR="00ED7F17" w:rsidRDefault="00ED7F17" w:rsidP="00ED7F17">
      <w:pPr>
        <w:suppressAutoHyphens w:val="0"/>
        <w:ind w:firstLine="709"/>
        <w:jc w:val="both"/>
      </w:pPr>
      <w:r>
        <w:rPr>
          <w:color w:val="auto"/>
          <w:lang w:eastAsia="ru-RU"/>
        </w:rPr>
        <w:t>Показатель общей смертности населения в 2018 году составил 11,6 на 1000 населения, что на 1,8% выше уровня 2017 года, но на 7,9% ниже уровня 2014 года (12,6). При этом показатель общей смертности населения Астраханской области на 7,2% ниже, чем по Российской Федерации (12,5) и на 9,4% ниже, чем по Южному Федеральному округу (12,8).</w:t>
      </w:r>
    </w:p>
    <w:p w:rsidR="00ED7F17" w:rsidRDefault="00ED7F17" w:rsidP="00ED7F17">
      <w:pPr>
        <w:suppressAutoHyphens w:val="0"/>
        <w:jc w:val="center"/>
        <w:rPr>
          <w:rFonts w:eastAsia="Calibri"/>
          <w:color w:val="auto"/>
          <w:lang w:eastAsia="en-US"/>
        </w:rPr>
      </w:pPr>
    </w:p>
    <w:p w:rsidR="00ED7F17" w:rsidRDefault="00ED7F17" w:rsidP="00ED7F17">
      <w:pPr>
        <w:suppressAutoHyphens w:val="0"/>
        <w:jc w:val="center"/>
        <w:rPr>
          <w:rFonts w:ascii="Arial" w:eastAsia="Arial" w:hAnsi="Arial" w:cs="Arial"/>
          <w:sz w:val="22"/>
          <w:szCs w:val="22"/>
        </w:rPr>
      </w:pPr>
      <w:r>
        <w:rPr>
          <w:rFonts w:eastAsia="Calibri"/>
          <w:color w:val="auto"/>
          <w:lang w:eastAsia="en-US"/>
        </w:rPr>
        <w:t>Смертность населения Астраханской области от всех причин по итогам 2018 года</w:t>
      </w:r>
    </w:p>
    <w:p w:rsidR="00ED7F17" w:rsidRDefault="00ED7F17" w:rsidP="00ED7F17">
      <w:pPr>
        <w:suppressAutoHyphens w:val="0"/>
        <w:jc w:val="both"/>
        <w:rPr>
          <w:rFonts w:eastAsia="Calibri"/>
          <w:color w:val="auto"/>
          <w:lang w:eastAsia="en-US"/>
        </w:rPr>
      </w:pPr>
    </w:p>
    <w:p w:rsidR="00ED7F17" w:rsidRDefault="00ED7F17" w:rsidP="00ED7F17">
      <w:pPr>
        <w:suppressAutoHyphens w:val="0"/>
        <w:jc w:val="both"/>
        <w:rPr>
          <w:rFonts w:eastAsia="Calibri"/>
          <w:color w:val="auto"/>
          <w:sz w:val="28"/>
          <w:lang w:eastAsia="en-US"/>
        </w:rPr>
      </w:pPr>
    </w:p>
    <w:p w:rsidR="00ED7F17" w:rsidRDefault="00ED7F17" w:rsidP="00ED7F17">
      <w:pPr>
        <w:suppressAutoHyphens w:val="0"/>
        <w:jc w:val="center"/>
        <w:rPr>
          <w:rFonts w:eastAsia="Calibri"/>
          <w:color w:val="auto"/>
          <w:sz w:val="28"/>
          <w:szCs w:val="22"/>
          <w:lang w:eastAsia="en-US"/>
        </w:rPr>
      </w:pPr>
      <w:r>
        <w:rPr>
          <w:noProof/>
          <w:color w:val="000000"/>
          <w:sz w:val="20"/>
          <w:szCs w:val="20"/>
          <w:lang w:eastAsia="ru-RU"/>
        </w:rPr>
        <w:drawing>
          <wp:inline distT="0" distB="0" distL="0" distR="0">
            <wp:extent cx="3398520" cy="409956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4">
                      <a:extLst>
                        <a:ext uri="{28A0092B-C50C-407E-A947-70E740481C1C}">
                          <a14:useLocalDpi xmlns:a14="http://schemas.microsoft.com/office/drawing/2010/main" val="0"/>
                        </a:ext>
                      </a:extLst>
                    </a:blip>
                    <a:srcRect l="-17" t="-14" r="-17" b="-14"/>
                    <a:stretch>
                      <a:fillRect/>
                    </a:stretch>
                  </pic:blipFill>
                  <pic:spPr bwMode="auto">
                    <a:xfrm>
                      <a:off x="0" y="0"/>
                      <a:ext cx="3398520" cy="4099560"/>
                    </a:xfrm>
                    <a:prstGeom prst="rect">
                      <a:avLst/>
                    </a:prstGeom>
                    <a:solidFill>
                      <a:srgbClr val="FFFFFF"/>
                    </a:solidFill>
                    <a:ln>
                      <a:noFill/>
                    </a:ln>
                  </pic:spPr>
                </pic:pic>
              </a:graphicData>
            </a:graphic>
          </wp:inline>
        </w:drawing>
      </w:r>
    </w:p>
    <w:p w:rsidR="00ED7F17" w:rsidRDefault="00ED7F17" w:rsidP="00ED7F17">
      <w:pPr>
        <w:suppressAutoHyphens w:val="0"/>
        <w:jc w:val="both"/>
        <w:rPr>
          <w:rFonts w:eastAsia="Calibri"/>
          <w:color w:val="auto"/>
          <w:sz w:val="28"/>
          <w:lang w:eastAsia="en-US"/>
        </w:rPr>
      </w:pPr>
    </w:p>
    <w:tbl>
      <w:tblPr>
        <w:tblW w:w="0" w:type="auto"/>
        <w:tblInd w:w="-25" w:type="dxa"/>
        <w:tblLayout w:type="fixed"/>
        <w:tblCellMar>
          <w:left w:w="0" w:type="dxa"/>
          <w:right w:w="0" w:type="dxa"/>
        </w:tblCellMar>
        <w:tblLook w:val="04A0" w:firstRow="1" w:lastRow="0" w:firstColumn="1" w:lastColumn="0" w:noHBand="0" w:noVBand="1"/>
      </w:tblPr>
      <w:tblGrid>
        <w:gridCol w:w="3648"/>
        <w:gridCol w:w="2069"/>
        <w:gridCol w:w="1934"/>
        <w:gridCol w:w="2047"/>
      </w:tblGrid>
      <w:tr w:rsidR="00ED7F17" w:rsidTr="00ED7F17">
        <w:trPr>
          <w:trHeight w:val="315"/>
        </w:trPr>
        <w:tc>
          <w:tcPr>
            <w:tcW w:w="3648" w:type="dxa"/>
            <w:vMerge w:val="restart"/>
            <w:tcBorders>
              <w:top w:val="single" w:sz="4" w:space="0" w:color="000000"/>
              <w:left w:val="single" w:sz="4" w:space="0" w:color="000000"/>
              <w:bottom w:val="single" w:sz="4" w:space="0" w:color="000000"/>
              <w:right w:val="nil"/>
            </w:tcBorders>
            <w:shd w:val="clear" w:color="auto" w:fill="FFFFFF"/>
            <w:vAlign w:val="center"/>
            <w:hideMark/>
          </w:tcPr>
          <w:p w:rsidR="00ED7F17" w:rsidRDefault="00ED7F17">
            <w:pPr>
              <w:suppressAutoHyphens w:val="0"/>
              <w:jc w:val="center"/>
              <w:textAlignment w:val="center"/>
              <w:rPr>
                <w:rFonts w:ascii="Arial" w:eastAsia="Arial" w:hAnsi="Arial" w:cs="Arial"/>
                <w:sz w:val="22"/>
                <w:szCs w:val="22"/>
              </w:rPr>
            </w:pPr>
            <w:r>
              <w:rPr>
                <w:b/>
                <w:bCs/>
                <w:color w:val="000000"/>
                <w:kern w:val="2"/>
                <w:lang w:eastAsia="ru-RU"/>
              </w:rPr>
              <w:t>Территория</w:t>
            </w:r>
          </w:p>
        </w:tc>
        <w:tc>
          <w:tcPr>
            <w:tcW w:w="6050" w:type="dxa"/>
            <w:gridSpan w:val="3"/>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ED7F17" w:rsidRDefault="00ED7F17">
            <w:pPr>
              <w:suppressAutoHyphens w:val="0"/>
              <w:jc w:val="center"/>
              <w:textAlignment w:val="center"/>
              <w:rPr>
                <w:rFonts w:ascii="Arial" w:eastAsia="Arial" w:hAnsi="Arial" w:cs="Arial"/>
                <w:sz w:val="22"/>
                <w:szCs w:val="22"/>
              </w:rPr>
            </w:pPr>
            <w:r>
              <w:rPr>
                <w:b/>
                <w:bCs/>
                <w:color w:val="000000"/>
                <w:kern w:val="2"/>
                <w:lang w:eastAsia="ru-RU"/>
              </w:rPr>
              <w:t>Умерло от всех причин</w:t>
            </w:r>
          </w:p>
        </w:tc>
      </w:tr>
      <w:tr w:rsidR="00ED7F17" w:rsidTr="00ED7F17">
        <w:trPr>
          <w:trHeight w:val="315"/>
        </w:trPr>
        <w:tc>
          <w:tcPr>
            <w:tcW w:w="3648" w:type="dxa"/>
            <w:vMerge/>
            <w:tcBorders>
              <w:top w:val="single" w:sz="4" w:space="0" w:color="000000"/>
              <w:left w:val="single" w:sz="4"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2069" w:type="dxa"/>
            <w:tcBorders>
              <w:top w:val="single" w:sz="4" w:space="0" w:color="000000"/>
              <w:left w:val="single" w:sz="4" w:space="0" w:color="000000"/>
              <w:bottom w:val="single" w:sz="4" w:space="0" w:color="000000"/>
              <w:right w:val="nil"/>
            </w:tcBorders>
            <w:shd w:val="clear" w:color="auto" w:fill="FFFFFF"/>
            <w:vAlign w:val="center"/>
            <w:hideMark/>
          </w:tcPr>
          <w:p w:rsidR="00ED7F17" w:rsidRDefault="00ED7F17">
            <w:pPr>
              <w:suppressAutoHyphens w:val="0"/>
              <w:jc w:val="center"/>
              <w:textAlignment w:val="center"/>
              <w:rPr>
                <w:rFonts w:ascii="Arial" w:eastAsia="Arial" w:hAnsi="Arial" w:cs="Arial"/>
                <w:sz w:val="22"/>
                <w:szCs w:val="22"/>
              </w:rPr>
            </w:pPr>
            <w:r>
              <w:rPr>
                <w:b/>
                <w:bCs/>
                <w:color w:val="000000"/>
                <w:kern w:val="2"/>
                <w:lang w:eastAsia="ru-RU"/>
              </w:rPr>
              <w:t>2017</w:t>
            </w:r>
          </w:p>
        </w:tc>
        <w:tc>
          <w:tcPr>
            <w:tcW w:w="1934" w:type="dxa"/>
            <w:tcBorders>
              <w:top w:val="single" w:sz="4" w:space="0" w:color="000000"/>
              <w:left w:val="single" w:sz="4" w:space="0" w:color="000000"/>
              <w:bottom w:val="single" w:sz="4" w:space="0" w:color="000000"/>
              <w:right w:val="nil"/>
            </w:tcBorders>
            <w:shd w:val="clear" w:color="auto" w:fill="FFFFFF"/>
            <w:vAlign w:val="center"/>
            <w:hideMark/>
          </w:tcPr>
          <w:p w:rsidR="00ED7F17" w:rsidRDefault="00ED7F17">
            <w:pPr>
              <w:suppressAutoHyphens w:val="0"/>
              <w:jc w:val="center"/>
              <w:textAlignment w:val="center"/>
              <w:rPr>
                <w:rFonts w:ascii="Arial" w:eastAsia="Arial" w:hAnsi="Arial" w:cs="Arial"/>
                <w:sz w:val="22"/>
                <w:szCs w:val="22"/>
              </w:rPr>
            </w:pPr>
            <w:r>
              <w:rPr>
                <w:b/>
                <w:bCs/>
                <w:color w:val="000000"/>
                <w:kern w:val="2"/>
                <w:lang w:eastAsia="ru-RU"/>
              </w:rPr>
              <w:t>2018</w:t>
            </w:r>
          </w:p>
        </w:tc>
        <w:tc>
          <w:tcPr>
            <w:tcW w:w="204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ED7F17" w:rsidRDefault="00ED7F17">
            <w:pPr>
              <w:suppressAutoHyphens w:val="0"/>
              <w:jc w:val="center"/>
              <w:textAlignment w:val="center"/>
              <w:rPr>
                <w:rFonts w:ascii="Arial" w:eastAsia="Arial" w:hAnsi="Arial" w:cs="Arial"/>
                <w:sz w:val="22"/>
                <w:szCs w:val="22"/>
              </w:rPr>
            </w:pPr>
            <w:r>
              <w:rPr>
                <w:b/>
                <w:bCs/>
                <w:color w:val="000000"/>
                <w:kern w:val="2"/>
                <w:lang w:eastAsia="ru-RU"/>
              </w:rPr>
              <w:t>2018 к 2017 гг.</w:t>
            </w:r>
          </w:p>
        </w:tc>
      </w:tr>
      <w:tr w:rsidR="00ED7F17" w:rsidTr="00ED7F17">
        <w:trPr>
          <w:trHeight w:val="300"/>
        </w:trPr>
        <w:tc>
          <w:tcPr>
            <w:tcW w:w="3648" w:type="dxa"/>
            <w:vMerge/>
            <w:tcBorders>
              <w:top w:val="single" w:sz="4" w:space="0" w:color="000000"/>
              <w:left w:val="single" w:sz="4"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2069" w:type="dxa"/>
            <w:tcBorders>
              <w:top w:val="single" w:sz="4" w:space="0" w:color="000000"/>
              <w:left w:val="single" w:sz="4" w:space="0" w:color="000000"/>
              <w:bottom w:val="single" w:sz="4" w:space="0" w:color="000000"/>
              <w:right w:val="nil"/>
            </w:tcBorders>
            <w:shd w:val="clear" w:color="auto" w:fill="FFFFFF"/>
            <w:vAlign w:val="center"/>
            <w:hideMark/>
          </w:tcPr>
          <w:p w:rsidR="00ED7F17" w:rsidRDefault="00ED7F17">
            <w:pPr>
              <w:suppressAutoHyphens w:val="0"/>
              <w:jc w:val="center"/>
              <w:textAlignment w:val="center"/>
              <w:rPr>
                <w:rFonts w:ascii="Arial" w:eastAsia="Arial" w:hAnsi="Arial" w:cs="Arial"/>
                <w:sz w:val="22"/>
                <w:szCs w:val="22"/>
              </w:rPr>
            </w:pPr>
            <w:r>
              <w:rPr>
                <w:b/>
                <w:bCs/>
                <w:color w:val="000000"/>
                <w:kern w:val="2"/>
                <w:lang w:eastAsia="ru-RU"/>
              </w:rPr>
              <w:t>на 100 тыс. нас.</w:t>
            </w:r>
          </w:p>
        </w:tc>
        <w:tc>
          <w:tcPr>
            <w:tcW w:w="1934" w:type="dxa"/>
            <w:tcBorders>
              <w:top w:val="single" w:sz="4" w:space="0" w:color="000000"/>
              <w:left w:val="single" w:sz="4" w:space="0" w:color="000000"/>
              <w:bottom w:val="single" w:sz="4" w:space="0" w:color="000000"/>
              <w:right w:val="nil"/>
            </w:tcBorders>
            <w:shd w:val="clear" w:color="auto" w:fill="FFFFFF"/>
            <w:vAlign w:val="center"/>
            <w:hideMark/>
          </w:tcPr>
          <w:p w:rsidR="00ED7F17" w:rsidRDefault="00ED7F17">
            <w:pPr>
              <w:suppressAutoHyphens w:val="0"/>
              <w:jc w:val="center"/>
              <w:textAlignment w:val="center"/>
              <w:rPr>
                <w:rFonts w:ascii="Arial" w:eastAsia="Arial" w:hAnsi="Arial" w:cs="Arial"/>
                <w:sz w:val="22"/>
                <w:szCs w:val="22"/>
              </w:rPr>
            </w:pPr>
            <w:r>
              <w:rPr>
                <w:b/>
                <w:bCs/>
                <w:color w:val="000000"/>
                <w:kern w:val="2"/>
                <w:lang w:eastAsia="ru-RU"/>
              </w:rPr>
              <w:t>на 100 тыс. нас.</w:t>
            </w:r>
          </w:p>
        </w:tc>
        <w:tc>
          <w:tcPr>
            <w:tcW w:w="204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ED7F17" w:rsidRDefault="00ED7F17">
            <w:pPr>
              <w:suppressAutoHyphens w:val="0"/>
              <w:jc w:val="center"/>
              <w:textAlignment w:val="center"/>
              <w:rPr>
                <w:rFonts w:ascii="Arial" w:eastAsia="Arial" w:hAnsi="Arial" w:cs="Arial"/>
                <w:sz w:val="22"/>
                <w:szCs w:val="22"/>
              </w:rPr>
            </w:pPr>
            <w:r>
              <w:rPr>
                <w:b/>
                <w:bCs/>
                <w:color w:val="000000"/>
                <w:kern w:val="2"/>
                <w:lang w:eastAsia="ru-RU"/>
              </w:rPr>
              <w:t>%</w:t>
            </w:r>
          </w:p>
        </w:tc>
      </w:tr>
      <w:tr w:rsidR="00ED7F17" w:rsidTr="00ED7F17">
        <w:trPr>
          <w:trHeight w:val="330"/>
        </w:trPr>
        <w:tc>
          <w:tcPr>
            <w:tcW w:w="3648" w:type="dxa"/>
            <w:tcBorders>
              <w:top w:val="single" w:sz="4" w:space="0" w:color="000000"/>
              <w:left w:val="single" w:sz="4" w:space="0" w:color="000000"/>
              <w:bottom w:val="single" w:sz="4" w:space="0" w:color="000000"/>
              <w:right w:val="nil"/>
            </w:tcBorders>
            <w:shd w:val="clear" w:color="auto" w:fill="FFFFFF"/>
            <w:vAlign w:val="center"/>
            <w:hideMark/>
          </w:tcPr>
          <w:p w:rsidR="00ED7F17" w:rsidRDefault="00ED7F17">
            <w:pPr>
              <w:suppressAutoHyphens w:val="0"/>
              <w:textAlignment w:val="center"/>
              <w:rPr>
                <w:rFonts w:ascii="Arial" w:eastAsia="Arial" w:hAnsi="Arial" w:cs="Arial"/>
                <w:sz w:val="22"/>
                <w:szCs w:val="22"/>
              </w:rPr>
            </w:pPr>
            <w:r>
              <w:rPr>
                <w:color w:val="000000"/>
                <w:kern w:val="2"/>
                <w:lang w:eastAsia="ru-RU"/>
              </w:rPr>
              <w:t>Ахтубинский район</w:t>
            </w:r>
          </w:p>
        </w:tc>
        <w:tc>
          <w:tcPr>
            <w:tcW w:w="2069" w:type="dxa"/>
            <w:tcBorders>
              <w:top w:val="single" w:sz="4" w:space="0" w:color="000000"/>
              <w:left w:val="single" w:sz="4" w:space="0" w:color="000000"/>
              <w:bottom w:val="single" w:sz="4" w:space="0" w:color="000000"/>
              <w:right w:val="nil"/>
            </w:tcBorders>
            <w:shd w:val="clear" w:color="auto" w:fill="FFFFFF"/>
            <w:vAlign w:val="bottom"/>
            <w:hideMark/>
          </w:tcPr>
          <w:p w:rsidR="00ED7F17" w:rsidRDefault="00ED7F17">
            <w:pPr>
              <w:suppressAutoHyphens w:val="0"/>
              <w:jc w:val="center"/>
              <w:textAlignment w:val="center"/>
              <w:rPr>
                <w:rFonts w:ascii="Arial" w:eastAsia="Arial" w:hAnsi="Arial" w:cs="Arial"/>
                <w:sz w:val="22"/>
                <w:szCs w:val="22"/>
              </w:rPr>
            </w:pPr>
            <w:r>
              <w:rPr>
                <w:color w:val="000000"/>
                <w:kern w:val="2"/>
                <w:lang w:eastAsia="ru-RU"/>
              </w:rPr>
              <w:t>14,7</w:t>
            </w:r>
          </w:p>
        </w:tc>
        <w:tc>
          <w:tcPr>
            <w:tcW w:w="1934" w:type="dxa"/>
            <w:tcBorders>
              <w:top w:val="single" w:sz="4" w:space="0" w:color="000000"/>
              <w:left w:val="single" w:sz="4" w:space="0" w:color="000000"/>
              <w:bottom w:val="single" w:sz="4" w:space="0" w:color="000000"/>
              <w:right w:val="nil"/>
            </w:tcBorders>
            <w:shd w:val="clear" w:color="auto" w:fill="FFFFFF"/>
            <w:vAlign w:val="bottom"/>
            <w:hideMark/>
          </w:tcPr>
          <w:p w:rsidR="00ED7F17" w:rsidRDefault="00ED7F17">
            <w:pPr>
              <w:suppressAutoHyphens w:val="0"/>
              <w:jc w:val="center"/>
              <w:textAlignment w:val="center"/>
              <w:rPr>
                <w:rFonts w:ascii="Arial" w:eastAsia="Arial" w:hAnsi="Arial" w:cs="Arial"/>
                <w:sz w:val="22"/>
                <w:szCs w:val="22"/>
              </w:rPr>
            </w:pPr>
            <w:r>
              <w:rPr>
                <w:color w:val="000000"/>
                <w:kern w:val="2"/>
                <w:lang w:eastAsia="ru-RU"/>
              </w:rPr>
              <w:t>14,0</w:t>
            </w:r>
          </w:p>
        </w:tc>
        <w:tc>
          <w:tcPr>
            <w:tcW w:w="2047" w:type="dxa"/>
            <w:tcBorders>
              <w:top w:val="single" w:sz="4" w:space="0" w:color="000000"/>
              <w:left w:val="single" w:sz="4" w:space="0" w:color="000000"/>
              <w:bottom w:val="single" w:sz="4" w:space="0" w:color="000000"/>
              <w:right w:val="single" w:sz="4" w:space="0" w:color="000000"/>
            </w:tcBorders>
            <w:shd w:val="clear" w:color="auto" w:fill="FFFFFF"/>
            <w:vAlign w:val="bottom"/>
            <w:hideMark/>
          </w:tcPr>
          <w:p w:rsidR="00ED7F17" w:rsidRDefault="00ED7F17">
            <w:pPr>
              <w:suppressAutoHyphens w:val="0"/>
              <w:jc w:val="center"/>
              <w:textAlignment w:val="center"/>
              <w:rPr>
                <w:rFonts w:ascii="Arial" w:eastAsia="Arial" w:hAnsi="Arial" w:cs="Arial"/>
                <w:sz w:val="22"/>
                <w:szCs w:val="22"/>
              </w:rPr>
            </w:pPr>
            <w:r>
              <w:rPr>
                <w:color w:val="000000"/>
                <w:kern w:val="2"/>
                <w:lang w:eastAsia="ru-RU"/>
              </w:rPr>
              <w:t>-5,0</w:t>
            </w:r>
          </w:p>
        </w:tc>
      </w:tr>
      <w:tr w:rsidR="00ED7F17" w:rsidTr="00ED7F17">
        <w:trPr>
          <w:trHeight w:val="315"/>
        </w:trPr>
        <w:tc>
          <w:tcPr>
            <w:tcW w:w="3648" w:type="dxa"/>
            <w:tcBorders>
              <w:top w:val="single" w:sz="4" w:space="0" w:color="000000"/>
              <w:left w:val="single" w:sz="4" w:space="0" w:color="000000"/>
              <w:bottom w:val="single" w:sz="4" w:space="0" w:color="000000"/>
              <w:right w:val="nil"/>
            </w:tcBorders>
            <w:shd w:val="clear" w:color="auto" w:fill="FFFFFF"/>
            <w:vAlign w:val="center"/>
            <w:hideMark/>
          </w:tcPr>
          <w:p w:rsidR="00ED7F17" w:rsidRDefault="00ED7F17">
            <w:pPr>
              <w:suppressAutoHyphens w:val="0"/>
              <w:textAlignment w:val="center"/>
              <w:rPr>
                <w:rFonts w:ascii="Arial" w:eastAsia="Arial" w:hAnsi="Arial" w:cs="Arial"/>
                <w:sz w:val="22"/>
                <w:szCs w:val="22"/>
              </w:rPr>
            </w:pPr>
            <w:r>
              <w:rPr>
                <w:color w:val="000000"/>
                <w:kern w:val="2"/>
                <w:lang w:eastAsia="ru-RU"/>
              </w:rPr>
              <w:t>Володарский район</w:t>
            </w:r>
          </w:p>
        </w:tc>
        <w:tc>
          <w:tcPr>
            <w:tcW w:w="2069" w:type="dxa"/>
            <w:tcBorders>
              <w:top w:val="single" w:sz="4" w:space="0" w:color="000000"/>
              <w:left w:val="single" w:sz="4" w:space="0" w:color="000000"/>
              <w:bottom w:val="single" w:sz="4" w:space="0" w:color="000000"/>
              <w:right w:val="nil"/>
            </w:tcBorders>
            <w:shd w:val="clear" w:color="auto" w:fill="FFFFFF"/>
            <w:vAlign w:val="bottom"/>
            <w:hideMark/>
          </w:tcPr>
          <w:p w:rsidR="00ED7F17" w:rsidRDefault="00ED7F17">
            <w:pPr>
              <w:suppressAutoHyphens w:val="0"/>
              <w:jc w:val="center"/>
              <w:textAlignment w:val="center"/>
              <w:rPr>
                <w:rFonts w:ascii="Arial" w:eastAsia="Arial" w:hAnsi="Arial" w:cs="Arial"/>
                <w:sz w:val="22"/>
                <w:szCs w:val="22"/>
              </w:rPr>
            </w:pPr>
            <w:r>
              <w:rPr>
                <w:color w:val="000000"/>
                <w:kern w:val="2"/>
                <w:lang w:eastAsia="ru-RU"/>
              </w:rPr>
              <w:t>9,9</w:t>
            </w:r>
          </w:p>
        </w:tc>
        <w:tc>
          <w:tcPr>
            <w:tcW w:w="1934" w:type="dxa"/>
            <w:tcBorders>
              <w:top w:val="single" w:sz="4" w:space="0" w:color="000000"/>
              <w:left w:val="single" w:sz="4" w:space="0" w:color="000000"/>
              <w:bottom w:val="single" w:sz="4" w:space="0" w:color="000000"/>
              <w:right w:val="nil"/>
            </w:tcBorders>
            <w:shd w:val="clear" w:color="auto" w:fill="FFFFFF"/>
            <w:vAlign w:val="bottom"/>
            <w:hideMark/>
          </w:tcPr>
          <w:p w:rsidR="00ED7F17" w:rsidRDefault="00ED7F17">
            <w:pPr>
              <w:suppressAutoHyphens w:val="0"/>
              <w:jc w:val="center"/>
              <w:textAlignment w:val="center"/>
              <w:rPr>
                <w:rFonts w:ascii="Arial" w:eastAsia="Arial" w:hAnsi="Arial" w:cs="Arial"/>
                <w:sz w:val="22"/>
                <w:szCs w:val="22"/>
              </w:rPr>
            </w:pPr>
            <w:r>
              <w:rPr>
                <w:color w:val="000000"/>
                <w:kern w:val="2"/>
                <w:lang w:eastAsia="ru-RU"/>
              </w:rPr>
              <w:t>10,8</w:t>
            </w:r>
          </w:p>
        </w:tc>
        <w:tc>
          <w:tcPr>
            <w:tcW w:w="2047" w:type="dxa"/>
            <w:tcBorders>
              <w:top w:val="single" w:sz="4" w:space="0" w:color="000000"/>
              <w:left w:val="single" w:sz="4" w:space="0" w:color="000000"/>
              <w:bottom w:val="single" w:sz="4" w:space="0" w:color="000000"/>
              <w:right w:val="single" w:sz="4" w:space="0" w:color="000000"/>
            </w:tcBorders>
            <w:shd w:val="clear" w:color="auto" w:fill="FFFFFF"/>
            <w:vAlign w:val="bottom"/>
            <w:hideMark/>
          </w:tcPr>
          <w:p w:rsidR="00ED7F17" w:rsidRDefault="00ED7F17">
            <w:pPr>
              <w:suppressAutoHyphens w:val="0"/>
              <w:jc w:val="center"/>
              <w:textAlignment w:val="center"/>
              <w:rPr>
                <w:rFonts w:ascii="Arial" w:eastAsia="Arial" w:hAnsi="Arial" w:cs="Arial"/>
                <w:sz w:val="22"/>
                <w:szCs w:val="22"/>
              </w:rPr>
            </w:pPr>
            <w:r>
              <w:rPr>
                <w:color w:val="000000"/>
                <w:kern w:val="2"/>
                <w:lang w:eastAsia="ru-RU"/>
              </w:rPr>
              <w:t>8,6</w:t>
            </w:r>
          </w:p>
        </w:tc>
      </w:tr>
      <w:tr w:rsidR="00ED7F17" w:rsidTr="00ED7F17">
        <w:trPr>
          <w:trHeight w:val="386"/>
        </w:trPr>
        <w:tc>
          <w:tcPr>
            <w:tcW w:w="3648" w:type="dxa"/>
            <w:tcBorders>
              <w:top w:val="single" w:sz="4" w:space="0" w:color="000000"/>
              <w:left w:val="single" w:sz="4" w:space="0" w:color="000000"/>
              <w:bottom w:val="single" w:sz="4" w:space="0" w:color="000000"/>
              <w:right w:val="nil"/>
            </w:tcBorders>
            <w:shd w:val="clear" w:color="auto" w:fill="FFFFFF"/>
            <w:vAlign w:val="center"/>
            <w:hideMark/>
          </w:tcPr>
          <w:p w:rsidR="00ED7F17" w:rsidRDefault="00ED7F17">
            <w:pPr>
              <w:suppressAutoHyphens w:val="0"/>
              <w:textAlignment w:val="center"/>
              <w:rPr>
                <w:rFonts w:ascii="Arial" w:eastAsia="Arial" w:hAnsi="Arial" w:cs="Arial"/>
                <w:sz w:val="22"/>
                <w:szCs w:val="22"/>
              </w:rPr>
            </w:pPr>
            <w:r>
              <w:rPr>
                <w:color w:val="000000"/>
                <w:kern w:val="2"/>
                <w:lang w:eastAsia="ru-RU"/>
              </w:rPr>
              <w:t>Енотаевский район</w:t>
            </w:r>
          </w:p>
        </w:tc>
        <w:tc>
          <w:tcPr>
            <w:tcW w:w="2069" w:type="dxa"/>
            <w:tcBorders>
              <w:top w:val="single" w:sz="4" w:space="0" w:color="000000"/>
              <w:left w:val="single" w:sz="4" w:space="0" w:color="000000"/>
              <w:bottom w:val="single" w:sz="4" w:space="0" w:color="000000"/>
              <w:right w:val="nil"/>
            </w:tcBorders>
            <w:shd w:val="clear" w:color="auto" w:fill="FFFFFF"/>
            <w:vAlign w:val="bottom"/>
            <w:hideMark/>
          </w:tcPr>
          <w:p w:rsidR="00ED7F17" w:rsidRDefault="00ED7F17">
            <w:pPr>
              <w:suppressAutoHyphens w:val="0"/>
              <w:jc w:val="center"/>
              <w:textAlignment w:val="center"/>
              <w:rPr>
                <w:rFonts w:ascii="Arial" w:eastAsia="Arial" w:hAnsi="Arial" w:cs="Arial"/>
                <w:sz w:val="22"/>
                <w:szCs w:val="22"/>
              </w:rPr>
            </w:pPr>
            <w:r>
              <w:rPr>
                <w:color w:val="000000"/>
                <w:kern w:val="2"/>
                <w:lang w:eastAsia="ru-RU"/>
              </w:rPr>
              <w:t>13,2</w:t>
            </w:r>
          </w:p>
        </w:tc>
        <w:tc>
          <w:tcPr>
            <w:tcW w:w="1934" w:type="dxa"/>
            <w:tcBorders>
              <w:top w:val="single" w:sz="4" w:space="0" w:color="000000"/>
              <w:left w:val="single" w:sz="4" w:space="0" w:color="000000"/>
              <w:bottom w:val="single" w:sz="4" w:space="0" w:color="000000"/>
              <w:right w:val="nil"/>
            </w:tcBorders>
            <w:shd w:val="clear" w:color="auto" w:fill="FFFFFF"/>
            <w:vAlign w:val="bottom"/>
            <w:hideMark/>
          </w:tcPr>
          <w:p w:rsidR="00ED7F17" w:rsidRDefault="00ED7F17">
            <w:pPr>
              <w:suppressAutoHyphens w:val="0"/>
              <w:jc w:val="center"/>
              <w:textAlignment w:val="center"/>
              <w:rPr>
                <w:rFonts w:ascii="Arial" w:eastAsia="Arial" w:hAnsi="Arial" w:cs="Arial"/>
                <w:sz w:val="22"/>
                <w:szCs w:val="22"/>
              </w:rPr>
            </w:pPr>
            <w:r>
              <w:rPr>
                <w:color w:val="000000"/>
                <w:kern w:val="2"/>
                <w:lang w:eastAsia="ru-RU"/>
              </w:rPr>
              <w:t>12,1</w:t>
            </w:r>
          </w:p>
        </w:tc>
        <w:tc>
          <w:tcPr>
            <w:tcW w:w="2047" w:type="dxa"/>
            <w:tcBorders>
              <w:top w:val="single" w:sz="4" w:space="0" w:color="000000"/>
              <w:left w:val="single" w:sz="4" w:space="0" w:color="000000"/>
              <w:bottom w:val="single" w:sz="4" w:space="0" w:color="000000"/>
              <w:right w:val="single" w:sz="4" w:space="0" w:color="000000"/>
            </w:tcBorders>
            <w:shd w:val="clear" w:color="auto" w:fill="FFFFFF"/>
            <w:vAlign w:val="bottom"/>
            <w:hideMark/>
          </w:tcPr>
          <w:p w:rsidR="00ED7F17" w:rsidRDefault="00ED7F17">
            <w:pPr>
              <w:suppressAutoHyphens w:val="0"/>
              <w:jc w:val="center"/>
              <w:textAlignment w:val="center"/>
              <w:rPr>
                <w:rFonts w:ascii="Arial" w:eastAsia="Arial" w:hAnsi="Arial" w:cs="Arial"/>
                <w:sz w:val="22"/>
                <w:szCs w:val="22"/>
              </w:rPr>
            </w:pPr>
            <w:r>
              <w:rPr>
                <w:color w:val="000000"/>
                <w:kern w:val="2"/>
                <w:lang w:eastAsia="ru-RU"/>
              </w:rPr>
              <w:t>-8,1</w:t>
            </w:r>
          </w:p>
        </w:tc>
      </w:tr>
      <w:tr w:rsidR="00ED7F17" w:rsidTr="00ED7F17">
        <w:trPr>
          <w:trHeight w:val="315"/>
        </w:trPr>
        <w:tc>
          <w:tcPr>
            <w:tcW w:w="3648" w:type="dxa"/>
            <w:tcBorders>
              <w:top w:val="single" w:sz="4" w:space="0" w:color="000000"/>
              <w:left w:val="single" w:sz="4" w:space="0" w:color="000000"/>
              <w:bottom w:val="single" w:sz="4" w:space="0" w:color="000000"/>
              <w:right w:val="nil"/>
            </w:tcBorders>
            <w:shd w:val="clear" w:color="auto" w:fill="FFFFFF"/>
            <w:vAlign w:val="center"/>
            <w:hideMark/>
          </w:tcPr>
          <w:p w:rsidR="00ED7F17" w:rsidRDefault="00ED7F17">
            <w:pPr>
              <w:suppressAutoHyphens w:val="0"/>
              <w:textAlignment w:val="center"/>
              <w:rPr>
                <w:rFonts w:ascii="Arial" w:eastAsia="Arial" w:hAnsi="Arial" w:cs="Arial"/>
                <w:sz w:val="22"/>
                <w:szCs w:val="22"/>
              </w:rPr>
            </w:pPr>
            <w:r>
              <w:rPr>
                <w:color w:val="000000"/>
                <w:kern w:val="2"/>
                <w:lang w:eastAsia="ru-RU"/>
              </w:rPr>
              <w:t>Икрянинский район</w:t>
            </w:r>
          </w:p>
        </w:tc>
        <w:tc>
          <w:tcPr>
            <w:tcW w:w="2069" w:type="dxa"/>
            <w:tcBorders>
              <w:top w:val="single" w:sz="4" w:space="0" w:color="000000"/>
              <w:left w:val="single" w:sz="4" w:space="0" w:color="000000"/>
              <w:bottom w:val="single" w:sz="4" w:space="0" w:color="000000"/>
              <w:right w:val="nil"/>
            </w:tcBorders>
            <w:shd w:val="clear" w:color="auto" w:fill="FFFFFF"/>
            <w:vAlign w:val="bottom"/>
            <w:hideMark/>
          </w:tcPr>
          <w:p w:rsidR="00ED7F17" w:rsidRDefault="00ED7F17">
            <w:pPr>
              <w:suppressAutoHyphens w:val="0"/>
              <w:jc w:val="center"/>
              <w:textAlignment w:val="center"/>
              <w:rPr>
                <w:rFonts w:ascii="Arial" w:eastAsia="Arial" w:hAnsi="Arial" w:cs="Arial"/>
                <w:sz w:val="22"/>
                <w:szCs w:val="22"/>
              </w:rPr>
            </w:pPr>
            <w:r>
              <w:rPr>
                <w:color w:val="000000"/>
                <w:kern w:val="2"/>
                <w:lang w:eastAsia="ru-RU"/>
              </w:rPr>
              <w:t>14,1</w:t>
            </w:r>
          </w:p>
        </w:tc>
        <w:tc>
          <w:tcPr>
            <w:tcW w:w="1934" w:type="dxa"/>
            <w:tcBorders>
              <w:top w:val="single" w:sz="4" w:space="0" w:color="000000"/>
              <w:left w:val="single" w:sz="4" w:space="0" w:color="000000"/>
              <w:bottom w:val="single" w:sz="4" w:space="0" w:color="000000"/>
              <w:right w:val="nil"/>
            </w:tcBorders>
            <w:shd w:val="clear" w:color="auto" w:fill="FFFFFF"/>
            <w:vAlign w:val="bottom"/>
            <w:hideMark/>
          </w:tcPr>
          <w:p w:rsidR="00ED7F17" w:rsidRDefault="00ED7F17">
            <w:pPr>
              <w:suppressAutoHyphens w:val="0"/>
              <w:jc w:val="center"/>
              <w:textAlignment w:val="center"/>
              <w:rPr>
                <w:rFonts w:ascii="Arial" w:eastAsia="Arial" w:hAnsi="Arial" w:cs="Arial"/>
                <w:sz w:val="22"/>
                <w:szCs w:val="22"/>
              </w:rPr>
            </w:pPr>
            <w:r>
              <w:rPr>
                <w:color w:val="000000"/>
                <w:kern w:val="2"/>
                <w:lang w:eastAsia="ru-RU"/>
              </w:rPr>
              <w:t>14,7</w:t>
            </w:r>
          </w:p>
        </w:tc>
        <w:tc>
          <w:tcPr>
            <w:tcW w:w="2047" w:type="dxa"/>
            <w:tcBorders>
              <w:top w:val="single" w:sz="4" w:space="0" w:color="000000"/>
              <w:left w:val="single" w:sz="4" w:space="0" w:color="000000"/>
              <w:bottom w:val="single" w:sz="4" w:space="0" w:color="000000"/>
              <w:right w:val="single" w:sz="4" w:space="0" w:color="000000"/>
            </w:tcBorders>
            <w:shd w:val="clear" w:color="auto" w:fill="FFFFFF"/>
            <w:vAlign w:val="bottom"/>
            <w:hideMark/>
          </w:tcPr>
          <w:p w:rsidR="00ED7F17" w:rsidRDefault="00ED7F17">
            <w:pPr>
              <w:suppressAutoHyphens w:val="0"/>
              <w:jc w:val="center"/>
              <w:textAlignment w:val="center"/>
              <w:rPr>
                <w:rFonts w:ascii="Arial" w:eastAsia="Arial" w:hAnsi="Arial" w:cs="Arial"/>
                <w:sz w:val="22"/>
                <w:szCs w:val="22"/>
              </w:rPr>
            </w:pPr>
            <w:r>
              <w:rPr>
                <w:color w:val="000000"/>
                <w:kern w:val="2"/>
                <w:lang w:eastAsia="ru-RU"/>
              </w:rPr>
              <w:t>3,8</w:t>
            </w:r>
          </w:p>
        </w:tc>
      </w:tr>
      <w:tr w:rsidR="00ED7F17" w:rsidTr="00ED7F17">
        <w:trPr>
          <w:trHeight w:val="315"/>
        </w:trPr>
        <w:tc>
          <w:tcPr>
            <w:tcW w:w="3648" w:type="dxa"/>
            <w:tcBorders>
              <w:top w:val="single" w:sz="4" w:space="0" w:color="000000"/>
              <w:left w:val="single" w:sz="4" w:space="0" w:color="000000"/>
              <w:bottom w:val="single" w:sz="4" w:space="0" w:color="000000"/>
              <w:right w:val="nil"/>
            </w:tcBorders>
            <w:shd w:val="clear" w:color="auto" w:fill="FFFFFF"/>
            <w:vAlign w:val="center"/>
            <w:hideMark/>
          </w:tcPr>
          <w:p w:rsidR="00ED7F17" w:rsidRDefault="00ED7F17">
            <w:pPr>
              <w:suppressAutoHyphens w:val="0"/>
              <w:textAlignment w:val="center"/>
              <w:rPr>
                <w:rFonts w:ascii="Arial" w:eastAsia="Arial" w:hAnsi="Arial" w:cs="Arial"/>
                <w:sz w:val="22"/>
                <w:szCs w:val="22"/>
              </w:rPr>
            </w:pPr>
            <w:r>
              <w:rPr>
                <w:color w:val="000000"/>
                <w:kern w:val="2"/>
                <w:lang w:eastAsia="ru-RU"/>
              </w:rPr>
              <w:t>Камызякский район</w:t>
            </w:r>
          </w:p>
        </w:tc>
        <w:tc>
          <w:tcPr>
            <w:tcW w:w="2069" w:type="dxa"/>
            <w:tcBorders>
              <w:top w:val="single" w:sz="4" w:space="0" w:color="000000"/>
              <w:left w:val="single" w:sz="4" w:space="0" w:color="000000"/>
              <w:bottom w:val="single" w:sz="4" w:space="0" w:color="000000"/>
              <w:right w:val="nil"/>
            </w:tcBorders>
            <w:shd w:val="clear" w:color="auto" w:fill="FFFFFF"/>
            <w:vAlign w:val="bottom"/>
            <w:hideMark/>
          </w:tcPr>
          <w:p w:rsidR="00ED7F17" w:rsidRDefault="00ED7F17">
            <w:pPr>
              <w:suppressAutoHyphens w:val="0"/>
              <w:jc w:val="center"/>
              <w:textAlignment w:val="center"/>
              <w:rPr>
                <w:rFonts w:ascii="Arial" w:eastAsia="Arial" w:hAnsi="Arial" w:cs="Arial"/>
                <w:sz w:val="22"/>
                <w:szCs w:val="22"/>
              </w:rPr>
            </w:pPr>
            <w:r>
              <w:rPr>
                <w:color w:val="000000"/>
                <w:kern w:val="2"/>
                <w:lang w:eastAsia="ru-RU"/>
              </w:rPr>
              <w:t>14,8</w:t>
            </w:r>
          </w:p>
        </w:tc>
        <w:tc>
          <w:tcPr>
            <w:tcW w:w="1934" w:type="dxa"/>
            <w:tcBorders>
              <w:top w:val="single" w:sz="4" w:space="0" w:color="000000"/>
              <w:left w:val="single" w:sz="4" w:space="0" w:color="000000"/>
              <w:bottom w:val="single" w:sz="4" w:space="0" w:color="000000"/>
              <w:right w:val="nil"/>
            </w:tcBorders>
            <w:shd w:val="clear" w:color="auto" w:fill="FFFFFF"/>
            <w:vAlign w:val="bottom"/>
            <w:hideMark/>
          </w:tcPr>
          <w:p w:rsidR="00ED7F17" w:rsidRDefault="00ED7F17">
            <w:pPr>
              <w:suppressAutoHyphens w:val="0"/>
              <w:jc w:val="center"/>
              <w:textAlignment w:val="center"/>
              <w:rPr>
                <w:rFonts w:ascii="Arial" w:eastAsia="Arial" w:hAnsi="Arial" w:cs="Arial"/>
                <w:sz w:val="22"/>
                <w:szCs w:val="22"/>
              </w:rPr>
            </w:pPr>
            <w:r>
              <w:rPr>
                <w:color w:val="000000"/>
                <w:kern w:val="2"/>
                <w:lang w:eastAsia="ru-RU"/>
              </w:rPr>
              <w:t>13,5</w:t>
            </w:r>
          </w:p>
        </w:tc>
        <w:tc>
          <w:tcPr>
            <w:tcW w:w="2047" w:type="dxa"/>
            <w:tcBorders>
              <w:top w:val="single" w:sz="4" w:space="0" w:color="000000"/>
              <w:left w:val="single" w:sz="4" w:space="0" w:color="000000"/>
              <w:bottom w:val="single" w:sz="4" w:space="0" w:color="000000"/>
              <w:right w:val="single" w:sz="4" w:space="0" w:color="000000"/>
            </w:tcBorders>
            <w:shd w:val="clear" w:color="auto" w:fill="FFFFFF"/>
            <w:vAlign w:val="bottom"/>
            <w:hideMark/>
          </w:tcPr>
          <w:p w:rsidR="00ED7F17" w:rsidRDefault="00ED7F17">
            <w:pPr>
              <w:suppressAutoHyphens w:val="0"/>
              <w:jc w:val="center"/>
              <w:textAlignment w:val="center"/>
              <w:rPr>
                <w:rFonts w:ascii="Arial" w:eastAsia="Arial" w:hAnsi="Arial" w:cs="Arial"/>
                <w:sz w:val="22"/>
                <w:szCs w:val="22"/>
              </w:rPr>
            </w:pPr>
            <w:r>
              <w:rPr>
                <w:color w:val="000000"/>
                <w:kern w:val="2"/>
                <w:lang w:eastAsia="ru-RU"/>
              </w:rPr>
              <w:t>-8,5</w:t>
            </w:r>
          </w:p>
        </w:tc>
      </w:tr>
      <w:tr w:rsidR="00ED7F17" w:rsidTr="00ED7F17">
        <w:trPr>
          <w:trHeight w:val="315"/>
        </w:trPr>
        <w:tc>
          <w:tcPr>
            <w:tcW w:w="3648" w:type="dxa"/>
            <w:tcBorders>
              <w:top w:val="single" w:sz="4" w:space="0" w:color="000000"/>
              <w:left w:val="single" w:sz="4" w:space="0" w:color="000000"/>
              <w:bottom w:val="single" w:sz="4" w:space="0" w:color="000000"/>
              <w:right w:val="nil"/>
            </w:tcBorders>
            <w:shd w:val="clear" w:color="auto" w:fill="FFFFFF"/>
            <w:vAlign w:val="center"/>
            <w:hideMark/>
          </w:tcPr>
          <w:p w:rsidR="00ED7F17" w:rsidRDefault="00ED7F17">
            <w:pPr>
              <w:suppressAutoHyphens w:val="0"/>
              <w:textAlignment w:val="center"/>
              <w:rPr>
                <w:rFonts w:ascii="Arial" w:eastAsia="Arial" w:hAnsi="Arial" w:cs="Arial"/>
                <w:sz w:val="22"/>
                <w:szCs w:val="22"/>
              </w:rPr>
            </w:pPr>
            <w:r>
              <w:rPr>
                <w:color w:val="000000"/>
                <w:kern w:val="2"/>
                <w:lang w:eastAsia="ru-RU"/>
              </w:rPr>
              <w:t>Красноярский район</w:t>
            </w:r>
          </w:p>
        </w:tc>
        <w:tc>
          <w:tcPr>
            <w:tcW w:w="2069" w:type="dxa"/>
            <w:tcBorders>
              <w:top w:val="single" w:sz="4" w:space="0" w:color="000000"/>
              <w:left w:val="single" w:sz="4" w:space="0" w:color="000000"/>
              <w:bottom w:val="single" w:sz="4" w:space="0" w:color="000000"/>
              <w:right w:val="nil"/>
            </w:tcBorders>
            <w:shd w:val="clear" w:color="auto" w:fill="FFFFFF"/>
            <w:vAlign w:val="bottom"/>
            <w:hideMark/>
          </w:tcPr>
          <w:p w:rsidR="00ED7F17" w:rsidRDefault="00ED7F17">
            <w:pPr>
              <w:suppressAutoHyphens w:val="0"/>
              <w:jc w:val="center"/>
              <w:textAlignment w:val="center"/>
              <w:rPr>
                <w:rFonts w:ascii="Arial" w:eastAsia="Arial" w:hAnsi="Arial" w:cs="Arial"/>
                <w:sz w:val="22"/>
                <w:szCs w:val="22"/>
              </w:rPr>
            </w:pPr>
            <w:r>
              <w:rPr>
                <w:color w:val="000000"/>
                <w:kern w:val="2"/>
                <w:lang w:eastAsia="ru-RU"/>
              </w:rPr>
              <w:t>9,1</w:t>
            </w:r>
          </w:p>
        </w:tc>
        <w:tc>
          <w:tcPr>
            <w:tcW w:w="1934" w:type="dxa"/>
            <w:tcBorders>
              <w:top w:val="single" w:sz="4" w:space="0" w:color="000000"/>
              <w:left w:val="single" w:sz="4" w:space="0" w:color="000000"/>
              <w:bottom w:val="single" w:sz="4" w:space="0" w:color="000000"/>
              <w:right w:val="nil"/>
            </w:tcBorders>
            <w:shd w:val="clear" w:color="auto" w:fill="FFFFFF"/>
            <w:vAlign w:val="bottom"/>
            <w:hideMark/>
          </w:tcPr>
          <w:p w:rsidR="00ED7F17" w:rsidRDefault="00ED7F17">
            <w:pPr>
              <w:suppressAutoHyphens w:val="0"/>
              <w:jc w:val="center"/>
              <w:textAlignment w:val="center"/>
              <w:rPr>
                <w:rFonts w:ascii="Arial" w:eastAsia="Arial" w:hAnsi="Arial" w:cs="Arial"/>
                <w:sz w:val="22"/>
                <w:szCs w:val="22"/>
              </w:rPr>
            </w:pPr>
            <w:r>
              <w:rPr>
                <w:color w:val="000000"/>
                <w:kern w:val="2"/>
                <w:lang w:eastAsia="ru-RU"/>
              </w:rPr>
              <w:t>8,9</w:t>
            </w:r>
          </w:p>
        </w:tc>
        <w:tc>
          <w:tcPr>
            <w:tcW w:w="2047" w:type="dxa"/>
            <w:tcBorders>
              <w:top w:val="single" w:sz="4" w:space="0" w:color="000000"/>
              <w:left w:val="single" w:sz="4" w:space="0" w:color="000000"/>
              <w:bottom w:val="single" w:sz="4" w:space="0" w:color="000000"/>
              <w:right w:val="single" w:sz="4" w:space="0" w:color="000000"/>
            </w:tcBorders>
            <w:shd w:val="clear" w:color="auto" w:fill="FFFFFF"/>
            <w:vAlign w:val="bottom"/>
            <w:hideMark/>
          </w:tcPr>
          <w:p w:rsidR="00ED7F17" w:rsidRDefault="00ED7F17">
            <w:pPr>
              <w:suppressAutoHyphens w:val="0"/>
              <w:jc w:val="center"/>
              <w:textAlignment w:val="center"/>
              <w:rPr>
                <w:rFonts w:ascii="Arial" w:eastAsia="Arial" w:hAnsi="Arial" w:cs="Arial"/>
                <w:sz w:val="22"/>
                <w:szCs w:val="22"/>
              </w:rPr>
            </w:pPr>
            <w:r>
              <w:rPr>
                <w:color w:val="000000"/>
                <w:kern w:val="2"/>
                <w:lang w:eastAsia="ru-RU"/>
              </w:rPr>
              <w:t>-2,0</w:t>
            </w:r>
          </w:p>
        </w:tc>
      </w:tr>
      <w:tr w:rsidR="00ED7F17" w:rsidTr="00ED7F17">
        <w:trPr>
          <w:trHeight w:val="315"/>
        </w:trPr>
        <w:tc>
          <w:tcPr>
            <w:tcW w:w="3648" w:type="dxa"/>
            <w:tcBorders>
              <w:top w:val="single" w:sz="4" w:space="0" w:color="000000"/>
              <w:left w:val="single" w:sz="4" w:space="0" w:color="000000"/>
              <w:bottom w:val="single" w:sz="4" w:space="0" w:color="000000"/>
              <w:right w:val="nil"/>
            </w:tcBorders>
            <w:shd w:val="clear" w:color="auto" w:fill="FFFFFF"/>
            <w:vAlign w:val="center"/>
            <w:hideMark/>
          </w:tcPr>
          <w:p w:rsidR="00ED7F17" w:rsidRDefault="00ED7F17">
            <w:pPr>
              <w:suppressAutoHyphens w:val="0"/>
              <w:textAlignment w:val="center"/>
              <w:rPr>
                <w:rFonts w:ascii="Arial" w:eastAsia="Arial" w:hAnsi="Arial" w:cs="Arial"/>
                <w:sz w:val="22"/>
                <w:szCs w:val="22"/>
              </w:rPr>
            </w:pPr>
            <w:r>
              <w:rPr>
                <w:color w:val="000000"/>
                <w:kern w:val="2"/>
                <w:lang w:eastAsia="ru-RU"/>
              </w:rPr>
              <w:t>Лиманский район</w:t>
            </w:r>
          </w:p>
        </w:tc>
        <w:tc>
          <w:tcPr>
            <w:tcW w:w="2069" w:type="dxa"/>
            <w:tcBorders>
              <w:top w:val="single" w:sz="4" w:space="0" w:color="000000"/>
              <w:left w:val="single" w:sz="4" w:space="0" w:color="000000"/>
              <w:bottom w:val="single" w:sz="4" w:space="0" w:color="000000"/>
              <w:right w:val="nil"/>
            </w:tcBorders>
            <w:shd w:val="clear" w:color="auto" w:fill="FFFFFF"/>
            <w:vAlign w:val="bottom"/>
            <w:hideMark/>
          </w:tcPr>
          <w:p w:rsidR="00ED7F17" w:rsidRDefault="00ED7F17">
            <w:pPr>
              <w:suppressAutoHyphens w:val="0"/>
              <w:jc w:val="center"/>
              <w:textAlignment w:val="center"/>
              <w:rPr>
                <w:rFonts w:ascii="Arial" w:eastAsia="Arial" w:hAnsi="Arial" w:cs="Arial"/>
                <w:sz w:val="22"/>
                <w:szCs w:val="22"/>
              </w:rPr>
            </w:pPr>
            <w:r>
              <w:rPr>
                <w:color w:val="000000"/>
                <w:kern w:val="2"/>
                <w:lang w:eastAsia="ru-RU"/>
              </w:rPr>
              <w:t>12,9</w:t>
            </w:r>
          </w:p>
        </w:tc>
        <w:tc>
          <w:tcPr>
            <w:tcW w:w="1934" w:type="dxa"/>
            <w:tcBorders>
              <w:top w:val="single" w:sz="4" w:space="0" w:color="000000"/>
              <w:left w:val="single" w:sz="4" w:space="0" w:color="000000"/>
              <w:bottom w:val="single" w:sz="4" w:space="0" w:color="000000"/>
              <w:right w:val="nil"/>
            </w:tcBorders>
            <w:shd w:val="clear" w:color="auto" w:fill="FFFFFF"/>
            <w:vAlign w:val="bottom"/>
            <w:hideMark/>
          </w:tcPr>
          <w:p w:rsidR="00ED7F17" w:rsidRDefault="00ED7F17">
            <w:pPr>
              <w:suppressAutoHyphens w:val="0"/>
              <w:jc w:val="center"/>
              <w:textAlignment w:val="center"/>
              <w:rPr>
                <w:rFonts w:ascii="Arial" w:eastAsia="Arial" w:hAnsi="Arial" w:cs="Arial"/>
                <w:sz w:val="22"/>
                <w:szCs w:val="22"/>
              </w:rPr>
            </w:pPr>
            <w:r>
              <w:rPr>
                <w:color w:val="000000"/>
                <w:kern w:val="2"/>
                <w:lang w:eastAsia="ru-RU"/>
              </w:rPr>
              <w:t>14,2</w:t>
            </w:r>
          </w:p>
        </w:tc>
        <w:tc>
          <w:tcPr>
            <w:tcW w:w="2047" w:type="dxa"/>
            <w:tcBorders>
              <w:top w:val="single" w:sz="4" w:space="0" w:color="000000"/>
              <w:left w:val="single" w:sz="4" w:space="0" w:color="000000"/>
              <w:bottom w:val="single" w:sz="4" w:space="0" w:color="000000"/>
              <w:right w:val="single" w:sz="4" w:space="0" w:color="000000"/>
            </w:tcBorders>
            <w:shd w:val="clear" w:color="auto" w:fill="FFFFFF"/>
            <w:vAlign w:val="bottom"/>
            <w:hideMark/>
          </w:tcPr>
          <w:p w:rsidR="00ED7F17" w:rsidRDefault="00ED7F17">
            <w:pPr>
              <w:suppressAutoHyphens w:val="0"/>
              <w:jc w:val="center"/>
              <w:textAlignment w:val="center"/>
              <w:rPr>
                <w:rFonts w:ascii="Arial" w:eastAsia="Arial" w:hAnsi="Arial" w:cs="Arial"/>
                <w:sz w:val="22"/>
                <w:szCs w:val="22"/>
              </w:rPr>
            </w:pPr>
            <w:r>
              <w:rPr>
                <w:color w:val="000000"/>
                <w:kern w:val="2"/>
                <w:lang w:eastAsia="ru-RU"/>
              </w:rPr>
              <w:t>9,8</w:t>
            </w:r>
          </w:p>
        </w:tc>
      </w:tr>
      <w:tr w:rsidR="00ED7F17" w:rsidTr="00ED7F17">
        <w:trPr>
          <w:trHeight w:val="315"/>
        </w:trPr>
        <w:tc>
          <w:tcPr>
            <w:tcW w:w="3648" w:type="dxa"/>
            <w:tcBorders>
              <w:top w:val="single" w:sz="4" w:space="0" w:color="000000"/>
              <w:left w:val="single" w:sz="4" w:space="0" w:color="000000"/>
              <w:bottom w:val="single" w:sz="4" w:space="0" w:color="000000"/>
              <w:right w:val="nil"/>
            </w:tcBorders>
            <w:shd w:val="clear" w:color="auto" w:fill="FFFFFF"/>
            <w:vAlign w:val="center"/>
            <w:hideMark/>
          </w:tcPr>
          <w:p w:rsidR="00ED7F17" w:rsidRDefault="00ED7F17">
            <w:pPr>
              <w:suppressAutoHyphens w:val="0"/>
              <w:textAlignment w:val="center"/>
              <w:rPr>
                <w:rFonts w:ascii="Arial" w:eastAsia="Arial" w:hAnsi="Arial" w:cs="Arial"/>
                <w:sz w:val="22"/>
                <w:szCs w:val="22"/>
              </w:rPr>
            </w:pPr>
            <w:r>
              <w:rPr>
                <w:color w:val="000000"/>
                <w:kern w:val="2"/>
                <w:lang w:eastAsia="ru-RU"/>
              </w:rPr>
              <w:t>Наримановский район</w:t>
            </w:r>
          </w:p>
        </w:tc>
        <w:tc>
          <w:tcPr>
            <w:tcW w:w="2069" w:type="dxa"/>
            <w:tcBorders>
              <w:top w:val="single" w:sz="4" w:space="0" w:color="000000"/>
              <w:left w:val="single" w:sz="4" w:space="0" w:color="000000"/>
              <w:bottom w:val="single" w:sz="4" w:space="0" w:color="000000"/>
              <w:right w:val="nil"/>
            </w:tcBorders>
            <w:shd w:val="clear" w:color="auto" w:fill="FFFFFF"/>
            <w:vAlign w:val="bottom"/>
            <w:hideMark/>
          </w:tcPr>
          <w:p w:rsidR="00ED7F17" w:rsidRDefault="00ED7F17">
            <w:pPr>
              <w:suppressAutoHyphens w:val="0"/>
              <w:jc w:val="center"/>
              <w:textAlignment w:val="center"/>
              <w:rPr>
                <w:rFonts w:ascii="Arial" w:eastAsia="Arial" w:hAnsi="Arial" w:cs="Arial"/>
                <w:sz w:val="22"/>
                <w:szCs w:val="22"/>
              </w:rPr>
            </w:pPr>
            <w:r>
              <w:rPr>
                <w:color w:val="000000"/>
                <w:kern w:val="2"/>
                <w:lang w:eastAsia="ru-RU"/>
              </w:rPr>
              <w:t>9,8</w:t>
            </w:r>
          </w:p>
        </w:tc>
        <w:tc>
          <w:tcPr>
            <w:tcW w:w="1934" w:type="dxa"/>
            <w:tcBorders>
              <w:top w:val="single" w:sz="4" w:space="0" w:color="000000"/>
              <w:left w:val="single" w:sz="4" w:space="0" w:color="000000"/>
              <w:bottom w:val="single" w:sz="4" w:space="0" w:color="000000"/>
              <w:right w:val="nil"/>
            </w:tcBorders>
            <w:shd w:val="clear" w:color="auto" w:fill="FFFFFF"/>
            <w:vAlign w:val="bottom"/>
            <w:hideMark/>
          </w:tcPr>
          <w:p w:rsidR="00ED7F17" w:rsidRDefault="00ED7F17">
            <w:pPr>
              <w:suppressAutoHyphens w:val="0"/>
              <w:jc w:val="center"/>
              <w:textAlignment w:val="center"/>
              <w:rPr>
                <w:rFonts w:ascii="Arial" w:eastAsia="Arial" w:hAnsi="Arial" w:cs="Arial"/>
                <w:sz w:val="22"/>
                <w:szCs w:val="22"/>
              </w:rPr>
            </w:pPr>
            <w:r>
              <w:rPr>
                <w:color w:val="000000"/>
                <w:kern w:val="2"/>
                <w:lang w:eastAsia="ru-RU"/>
              </w:rPr>
              <w:t>10,0</w:t>
            </w:r>
          </w:p>
        </w:tc>
        <w:tc>
          <w:tcPr>
            <w:tcW w:w="2047" w:type="dxa"/>
            <w:tcBorders>
              <w:top w:val="single" w:sz="4" w:space="0" w:color="000000"/>
              <w:left w:val="single" w:sz="4" w:space="0" w:color="000000"/>
              <w:bottom w:val="single" w:sz="4" w:space="0" w:color="000000"/>
              <w:right w:val="single" w:sz="4" w:space="0" w:color="000000"/>
            </w:tcBorders>
            <w:shd w:val="clear" w:color="auto" w:fill="FFFFFF"/>
            <w:vAlign w:val="bottom"/>
            <w:hideMark/>
          </w:tcPr>
          <w:p w:rsidR="00ED7F17" w:rsidRDefault="00ED7F17">
            <w:pPr>
              <w:suppressAutoHyphens w:val="0"/>
              <w:jc w:val="center"/>
              <w:textAlignment w:val="center"/>
              <w:rPr>
                <w:rFonts w:ascii="Arial" w:eastAsia="Arial" w:hAnsi="Arial" w:cs="Arial"/>
                <w:sz w:val="22"/>
                <w:szCs w:val="22"/>
              </w:rPr>
            </w:pPr>
            <w:r>
              <w:rPr>
                <w:color w:val="000000"/>
                <w:kern w:val="2"/>
                <w:lang w:eastAsia="ru-RU"/>
              </w:rPr>
              <w:t>1,3</w:t>
            </w:r>
          </w:p>
        </w:tc>
      </w:tr>
      <w:tr w:rsidR="00ED7F17" w:rsidTr="00ED7F17">
        <w:trPr>
          <w:trHeight w:val="315"/>
        </w:trPr>
        <w:tc>
          <w:tcPr>
            <w:tcW w:w="3648" w:type="dxa"/>
            <w:tcBorders>
              <w:top w:val="single" w:sz="4" w:space="0" w:color="000000"/>
              <w:left w:val="single" w:sz="4" w:space="0" w:color="000000"/>
              <w:bottom w:val="single" w:sz="4" w:space="0" w:color="000000"/>
              <w:right w:val="nil"/>
            </w:tcBorders>
            <w:shd w:val="clear" w:color="auto" w:fill="FFFFFF"/>
            <w:vAlign w:val="center"/>
            <w:hideMark/>
          </w:tcPr>
          <w:p w:rsidR="00ED7F17" w:rsidRDefault="00ED7F17">
            <w:pPr>
              <w:suppressAutoHyphens w:val="0"/>
              <w:textAlignment w:val="center"/>
              <w:rPr>
                <w:rFonts w:ascii="Arial" w:eastAsia="Arial" w:hAnsi="Arial" w:cs="Arial"/>
                <w:sz w:val="22"/>
                <w:szCs w:val="22"/>
              </w:rPr>
            </w:pPr>
            <w:r>
              <w:rPr>
                <w:color w:val="000000"/>
                <w:kern w:val="2"/>
                <w:lang w:eastAsia="ru-RU"/>
              </w:rPr>
              <w:t>Приволжский район</w:t>
            </w:r>
          </w:p>
        </w:tc>
        <w:tc>
          <w:tcPr>
            <w:tcW w:w="2069" w:type="dxa"/>
            <w:tcBorders>
              <w:top w:val="single" w:sz="4" w:space="0" w:color="000000"/>
              <w:left w:val="single" w:sz="4" w:space="0" w:color="000000"/>
              <w:bottom w:val="single" w:sz="4" w:space="0" w:color="000000"/>
              <w:right w:val="nil"/>
            </w:tcBorders>
            <w:shd w:val="clear" w:color="auto" w:fill="FFFFFF"/>
            <w:vAlign w:val="bottom"/>
            <w:hideMark/>
          </w:tcPr>
          <w:p w:rsidR="00ED7F17" w:rsidRDefault="00ED7F17">
            <w:pPr>
              <w:suppressAutoHyphens w:val="0"/>
              <w:jc w:val="center"/>
              <w:textAlignment w:val="center"/>
              <w:rPr>
                <w:rFonts w:ascii="Arial" w:eastAsia="Arial" w:hAnsi="Arial" w:cs="Arial"/>
                <w:sz w:val="22"/>
                <w:szCs w:val="22"/>
              </w:rPr>
            </w:pPr>
            <w:r>
              <w:rPr>
                <w:color w:val="000000"/>
                <w:kern w:val="2"/>
                <w:lang w:eastAsia="ru-RU"/>
              </w:rPr>
              <w:t>9,0</w:t>
            </w:r>
          </w:p>
        </w:tc>
        <w:tc>
          <w:tcPr>
            <w:tcW w:w="1934" w:type="dxa"/>
            <w:tcBorders>
              <w:top w:val="single" w:sz="4" w:space="0" w:color="000000"/>
              <w:left w:val="single" w:sz="4" w:space="0" w:color="000000"/>
              <w:bottom w:val="single" w:sz="4" w:space="0" w:color="000000"/>
              <w:right w:val="nil"/>
            </w:tcBorders>
            <w:shd w:val="clear" w:color="auto" w:fill="FFFFFF"/>
            <w:vAlign w:val="bottom"/>
            <w:hideMark/>
          </w:tcPr>
          <w:p w:rsidR="00ED7F17" w:rsidRDefault="00ED7F17">
            <w:pPr>
              <w:suppressAutoHyphens w:val="0"/>
              <w:jc w:val="center"/>
              <w:textAlignment w:val="center"/>
              <w:rPr>
                <w:rFonts w:ascii="Arial" w:eastAsia="Arial" w:hAnsi="Arial" w:cs="Arial"/>
                <w:sz w:val="22"/>
                <w:szCs w:val="22"/>
              </w:rPr>
            </w:pPr>
            <w:r>
              <w:rPr>
                <w:color w:val="000000"/>
                <w:kern w:val="2"/>
                <w:lang w:eastAsia="ru-RU"/>
              </w:rPr>
              <w:t>9,8</w:t>
            </w:r>
          </w:p>
        </w:tc>
        <w:tc>
          <w:tcPr>
            <w:tcW w:w="2047" w:type="dxa"/>
            <w:tcBorders>
              <w:top w:val="single" w:sz="4" w:space="0" w:color="000000"/>
              <w:left w:val="single" w:sz="4" w:space="0" w:color="000000"/>
              <w:bottom w:val="single" w:sz="4" w:space="0" w:color="000000"/>
              <w:right w:val="single" w:sz="4" w:space="0" w:color="000000"/>
            </w:tcBorders>
            <w:shd w:val="clear" w:color="auto" w:fill="FFFFFF"/>
            <w:vAlign w:val="bottom"/>
            <w:hideMark/>
          </w:tcPr>
          <w:p w:rsidR="00ED7F17" w:rsidRDefault="00ED7F17">
            <w:pPr>
              <w:suppressAutoHyphens w:val="0"/>
              <w:jc w:val="center"/>
              <w:textAlignment w:val="center"/>
              <w:rPr>
                <w:rFonts w:ascii="Arial" w:eastAsia="Arial" w:hAnsi="Arial" w:cs="Arial"/>
                <w:sz w:val="22"/>
                <w:szCs w:val="22"/>
              </w:rPr>
            </w:pPr>
            <w:r>
              <w:rPr>
                <w:color w:val="000000"/>
                <w:kern w:val="2"/>
                <w:lang w:eastAsia="ru-RU"/>
              </w:rPr>
              <w:t>9,2</w:t>
            </w:r>
          </w:p>
        </w:tc>
      </w:tr>
      <w:tr w:rsidR="00ED7F17" w:rsidTr="00ED7F17">
        <w:trPr>
          <w:trHeight w:val="315"/>
        </w:trPr>
        <w:tc>
          <w:tcPr>
            <w:tcW w:w="3648" w:type="dxa"/>
            <w:tcBorders>
              <w:top w:val="single" w:sz="4" w:space="0" w:color="000000"/>
              <w:left w:val="single" w:sz="4" w:space="0" w:color="000000"/>
              <w:bottom w:val="single" w:sz="4" w:space="0" w:color="000000"/>
              <w:right w:val="nil"/>
            </w:tcBorders>
            <w:shd w:val="clear" w:color="auto" w:fill="FFFFFF"/>
            <w:vAlign w:val="center"/>
            <w:hideMark/>
          </w:tcPr>
          <w:p w:rsidR="00ED7F17" w:rsidRDefault="00ED7F17">
            <w:pPr>
              <w:suppressAutoHyphens w:val="0"/>
              <w:textAlignment w:val="center"/>
              <w:rPr>
                <w:rFonts w:ascii="Arial" w:eastAsia="Arial" w:hAnsi="Arial" w:cs="Arial"/>
                <w:sz w:val="22"/>
                <w:szCs w:val="22"/>
              </w:rPr>
            </w:pPr>
            <w:r>
              <w:rPr>
                <w:color w:val="000000"/>
                <w:kern w:val="2"/>
                <w:lang w:eastAsia="ru-RU"/>
              </w:rPr>
              <w:t>Харабалинский район</w:t>
            </w:r>
          </w:p>
        </w:tc>
        <w:tc>
          <w:tcPr>
            <w:tcW w:w="2069" w:type="dxa"/>
            <w:tcBorders>
              <w:top w:val="single" w:sz="4" w:space="0" w:color="000000"/>
              <w:left w:val="single" w:sz="4" w:space="0" w:color="000000"/>
              <w:bottom w:val="single" w:sz="4" w:space="0" w:color="000000"/>
              <w:right w:val="nil"/>
            </w:tcBorders>
            <w:shd w:val="clear" w:color="auto" w:fill="FFFFFF"/>
            <w:vAlign w:val="bottom"/>
            <w:hideMark/>
          </w:tcPr>
          <w:p w:rsidR="00ED7F17" w:rsidRDefault="00ED7F17">
            <w:pPr>
              <w:suppressAutoHyphens w:val="0"/>
              <w:jc w:val="center"/>
              <w:textAlignment w:val="center"/>
              <w:rPr>
                <w:rFonts w:ascii="Arial" w:eastAsia="Arial" w:hAnsi="Arial" w:cs="Arial"/>
                <w:sz w:val="22"/>
                <w:szCs w:val="22"/>
              </w:rPr>
            </w:pPr>
            <w:r>
              <w:rPr>
                <w:color w:val="000000"/>
                <w:kern w:val="2"/>
                <w:lang w:eastAsia="ru-RU"/>
              </w:rPr>
              <w:t>10,8</w:t>
            </w:r>
          </w:p>
        </w:tc>
        <w:tc>
          <w:tcPr>
            <w:tcW w:w="1934" w:type="dxa"/>
            <w:tcBorders>
              <w:top w:val="single" w:sz="4" w:space="0" w:color="000000"/>
              <w:left w:val="single" w:sz="4" w:space="0" w:color="000000"/>
              <w:bottom w:val="single" w:sz="4" w:space="0" w:color="000000"/>
              <w:right w:val="nil"/>
            </w:tcBorders>
            <w:shd w:val="clear" w:color="auto" w:fill="FFFFFF"/>
            <w:vAlign w:val="bottom"/>
            <w:hideMark/>
          </w:tcPr>
          <w:p w:rsidR="00ED7F17" w:rsidRDefault="00ED7F17">
            <w:pPr>
              <w:suppressAutoHyphens w:val="0"/>
              <w:jc w:val="center"/>
              <w:textAlignment w:val="center"/>
              <w:rPr>
                <w:rFonts w:ascii="Arial" w:eastAsia="Arial" w:hAnsi="Arial" w:cs="Arial"/>
                <w:sz w:val="22"/>
                <w:szCs w:val="22"/>
              </w:rPr>
            </w:pPr>
            <w:r>
              <w:rPr>
                <w:color w:val="000000"/>
                <w:kern w:val="2"/>
                <w:lang w:eastAsia="ru-RU"/>
              </w:rPr>
              <w:t>10,1</w:t>
            </w:r>
          </w:p>
        </w:tc>
        <w:tc>
          <w:tcPr>
            <w:tcW w:w="2047" w:type="dxa"/>
            <w:tcBorders>
              <w:top w:val="single" w:sz="4" w:space="0" w:color="000000"/>
              <w:left w:val="single" w:sz="4" w:space="0" w:color="000000"/>
              <w:bottom w:val="single" w:sz="4" w:space="0" w:color="000000"/>
              <w:right w:val="single" w:sz="4" w:space="0" w:color="000000"/>
            </w:tcBorders>
            <w:shd w:val="clear" w:color="auto" w:fill="FFFFFF"/>
            <w:vAlign w:val="bottom"/>
            <w:hideMark/>
          </w:tcPr>
          <w:p w:rsidR="00ED7F17" w:rsidRDefault="00ED7F17">
            <w:pPr>
              <w:suppressAutoHyphens w:val="0"/>
              <w:jc w:val="center"/>
              <w:textAlignment w:val="center"/>
              <w:rPr>
                <w:rFonts w:ascii="Arial" w:eastAsia="Arial" w:hAnsi="Arial" w:cs="Arial"/>
                <w:sz w:val="22"/>
                <w:szCs w:val="22"/>
              </w:rPr>
            </w:pPr>
            <w:r>
              <w:rPr>
                <w:color w:val="000000"/>
                <w:kern w:val="2"/>
                <w:lang w:eastAsia="ru-RU"/>
              </w:rPr>
              <w:t>-6,0</w:t>
            </w:r>
          </w:p>
        </w:tc>
      </w:tr>
      <w:tr w:rsidR="00ED7F17" w:rsidTr="00ED7F17">
        <w:trPr>
          <w:trHeight w:val="315"/>
        </w:trPr>
        <w:tc>
          <w:tcPr>
            <w:tcW w:w="3648" w:type="dxa"/>
            <w:tcBorders>
              <w:top w:val="single" w:sz="4" w:space="0" w:color="000000"/>
              <w:left w:val="single" w:sz="4" w:space="0" w:color="000000"/>
              <w:bottom w:val="single" w:sz="4" w:space="0" w:color="000000"/>
              <w:right w:val="nil"/>
            </w:tcBorders>
            <w:shd w:val="clear" w:color="auto" w:fill="FFFFFF"/>
            <w:vAlign w:val="center"/>
            <w:hideMark/>
          </w:tcPr>
          <w:p w:rsidR="00ED7F17" w:rsidRDefault="00ED7F17">
            <w:pPr>
              <w:suppressAutoHyphens w:val="0"/>
              <w:textAlignment w:val="center"/>
              <w:rPr>
                <w:rFonts w:ascii="Arial" w:eastAsia="Arial" w:hAnsi="Arial" w:cs="Arial"/>
                <w:sz w:val="22"/>
                <w:szCs w:val="22"/>
              </w:rPr>
            </w:pPr>
            <w:r>
              <w:rPr>
                <w:color w:val="000000"/>
                <w:kern w:val="2"/>
                <w:lang w:eastAsia="ru-RU"/>
              </w:rPr>
              <w:t>Черноярский район</w:t>
            </w:r>
          </w:p>
        </w:tc>
        <w:tc>
          <w:tcPr>
            <w:tcW w:w="2069" w:type="dxa"/>
            <w:tcBorders>
              <w:top w:val="single" w:sz="4" w:space="0" w:color="000000"/>
              <w:left w:val="single" w:sz="4" w:space="0" w:color="000000"/>
              <w:bottom w:val="single" w:sz="4" w:space="0" w:color="000000"/>
              <w:right w:val="nil"/>
            </w:tcBorders>
            <w:shd w:val="clear" w:color="auto" w:fill="FFFFFF"/>
            <w:vAlign w:val="bottom"/>
            <w:hideMark/>
          </w:tcPr>
          <w:p w:rsidR="00ED7F17" w:rsidRDefault="00ED7F17">
            <w:pPr>
              <w:suppressAutoHyphens w:val="0"/>
              <w:jc w:val="center"/>
              <w:textAlignment w:val="center"/>
              <w:rPr>
                <w:rFonts w:ascii="Arial" w:eastAsia="Arial" w:hAnsi="Arial" w:cs="Arial"/>
                <w:sz w:val="22"/>
                <w:szCs w:val="22"/>
              </w:rPr>
            </w:pPr>
            <w:r>
              <w:rPr>
                <w:color w:val="000000"/>
                <w:kern w:val="2"/>
                <w:lang w:eastAsia="ru-RU"/>
              </w:rPr>
              <w:t>12,2</w:t>
            </w:r>
          </w:p>
        </w:tc>
        <w:tc>
          <w:tcPr>
            <w:tcW w:w="1934" w:type="dxa"/>
            <w:tcBorders>
              <w:top w:val="single" w:sz="4" w:space="0" w:color="000000"/>
              <w:left w:val="single" w:sz="4" w:space="0" w:color="000000"/>
              <w:bottom w:val="single" w:sz="4" w:space="0" w:color="000000"/>
              <w:right w:val="nil"/>
            </w:tcBorders>
            <w:shd w:val="clear" w:color="auto" w:fill="FFFFFF"/>
            <w:vAlign w:val="bottom"/>
            <w:hideMark/>
          </w:tcPr>
          <w:p w:rsidR="00ED7F17" w:rsidRDefault="00ED7F17">
            <w:pPr>
              <w:suppressAutoHyphens w:val="0"/>
              <w:jc w:val="center"/>
              <w:textAlignment w:val="center"/>
              <w:rPr>
                <w:rFonts w:ascii="Arial" w:eastAsia="Arial" w:hAnsi="Arial" w:cs="Arial"/>
                <w:sz w:val="22"/>
                <w:szCs w:val="22"/>
              </w:rPr>
            </w:pPr>
            <w:r>
              <w:rPr>
                <w:color w:val="000000"/>
                <w:kern w:val="2"/>
                <w:lang w:eastAsia="ru-RU"/>
              </w:rPr>
              <w:t>12,0</w:t>
            </w:r>
          </w:p>
        </w:tc>
        <w:tc>
          <w:tcPr>
            <w:tcW w:w="2047" w:type="dxa"/>
            <w:tcBorders>
              <w:top w:val="single" w:sz="4" w:space="0" w:color="000000"/>
              <w:left w:val="single" w:sz="4" w:space="0" w:color="000000"/>
              <w:bottom w:val="single" w:sz="4" w:space="0" w:color="000000"/>
              <w:right w:val="single" w:sz="4" w:space="0" w:color="000000"/>
            </w:tcBorders>
            <w:shd w:val="clear" w:color="auto" w:fill="FFFFFF"/>
            <w:vAlign w:val="bottom"/>
            <w:hideMark/>
          </w:tcPr>
          <w:p w:rsidR="00ED7F17" w:rsidRDefault="00ED7F17">
            <w:pPr>
              <w:suppressAutoHyphens w:val="0"/>
              <w:jc w:val="center"/>
              <w:textAlignment w:val="center"/>
              <w:rPr>
                <w:rFonts w:ascii="Arial" w:eastAsia="Arial" w:hAnsi="Arial" w:cs="Arial"/>
                <w:sz w:val="22"/>
                <w:szCs w:val="22"/>
              </w:rPr>
            </w:pPr>
            <w:r>
              <w:rPr>
                <w:color w:val="000000"/>
                <w:kern w:val="2"/>
                <w:lang w:eastAsia="ru-RU"/>
              </w:rPr>
              <w:t>-1,8</w:t>
            </w:r>
          </w:p>
        </w:tc>
      </w:tr>
      <w:tr w:rsidR="00ED7F17" w:rsidTr="00ED7F17">
        <w:trPr>
          <w:trHeight w:val="315"/>
        </w:trPr>
        <w:tc>
          <w:tcPr>
            <w:tcW w:w="3648" w:type="dxa"/>
            <w:tcBorders>
              <w:top w:val="single" w:sz="4" w:space="0" w:color="000000"/>
              <w:left w:val="single" w:sz="4" w:space="0" w:color="000000"/>
              <w:bottom w:val="single" w:sz="4" w:space="0" w:color="000000"/>
              <w:right w:val="nil"/>
            </w:tcBorders>
            <w:shd w:val="clear" w:color="auto" w:fill="FFFFFF"/>
            <w:vAlign w:val="center"/>
            <w:hideMark/>
          </w:tcPr>
          <w:p w:rsidR="00ED7F17" w:rsidRDefault="00ED7F17">
            <w:pPr>
              <w:suppressAutoHyphens w:val="0"/>
              <w:textAlignment w:val="center"/>
              <w:rPr>
                <w:rFonts w:ascii="Arial" w:eastAsia="Arial" w:hAnsi="Arial" w:cs="Arial"/>
                <w:sz w:val="22"/>
                <w:szCs w:val="22"/>
              </w:rPr>
            </w:pPr>
            <w:r>
              <w:rPr>
                <w:color w:val="000000"/>
                <w:kern w:val="2"/>
                <w:lang w:eastAsia="ru-RU"/>
              </w:rPr>
              <w:t>г.Знаменск</w:t>
            </w:r>
          </w:p>
        </w:tc>
        <w:tc>
          <w:tcPr>
            <w:tcW w:w="2069" w:type="dxa"/>
            <w:tcBorders>
              <w:top w:val="single" w:sz="4" w:space="0" w:color="000000"/>
              <w:left w:val="single" w:sz="4" w:space="0" w:color="000000"/>
              <w:bottom w:val="single" w:sz="4" w:space="0" w:color="000000"/>
              <w:right w:val="nil"/>
            </w:tcBorders>
            <w:shd w:val="clear" w:color="auto" w:fill="FFFFFF"/>
            <w:vAlign w:val="bottom"/>
            <w:hideMark/>
          </w:tcPr>
          <w:p w:rsidR="00ED7F17" w:rsidRDefault="00ED7F17">
            <w:pPr>
              <w:suppressAutoHyphens w:val="0"/>
              <w:jc w:val="center"/>
              <w:textAlignment w:val="center"/>
              <w:rPr>
                <w:rFonts w:ascii="Arial" w:eastAsia="Arial" w:hAnsi="Arial" w:cs="Arial"/>
                <w:sz w:val="22"/>
                <w:szCs w:val="22"/>
              </w:rPr>
            </w:pPr>
            <w:r>
              <w:rPr>
                <w:color w:val="000000"/>
                <w:kern w:val="2"/>
                <w:lang w:eastAsia="ru-RU"/>
              </w:rPr>
              <w:t>11,4</w:t>
            </w:r>
          </w:p>
        </w:tc>
        <w:tc>
          <w:tcPr>
            <w:tcW w:w="1934" w:type="dxa"/>
            <w:tcBorders>
              <w:top w:val="single" w:sz="4" w:space="0" w:color="000000"/>
              <w:left w:val="single" w:sz="4" w:space="0" w:color="000000"/>
              <w:bottom w:val="single" w:sz="4" w:space="0" w:color="000000"/>
              <w:right w:val="nil"/>
            </w:tcBorders>
            <w:shd w:val="clear" w:color="auto" w:fill="FFFFFF"/>
            <w:vAlign w:val="bottom"/>
            <w:hideMark/>
          </w:tcPr>
          <w:p w:rsidR="00ED7F17" w:rsidRDefault="00ED7F17">
            <w:pPr>
              <w:suppressAutoHyphens w:val="0"/>
              <w:jc w:val="center"/>
              <w:textAlignment w:val="center"/>
              <w:rPr>
                <w:rFonts w:ascii="Arial" w:eastAsia="Arial" w:hAnsi="Arial" w:cs="Arial"/>
                <w:sz w:val="22"/>
                <w:szCs w:val="22"/>
              </w:rPr>
            </w:pPr>
            <w:r>
              <w:rPr>
                <w:color w:val="000000"/>
                <w:kern w:val="2"/>
                <w:lang w:eastAsia="ru-RU"/>
              </w:rPr>
              <w:t>10,2</w:t>
            </w:r>
          </w:p>
        </w:tc>
        <w:tc>
          <w:tcPr>
            <w:tcW w:w="2047" w:type="dxa"/>
            <w:tcBorders>
              <w:top w:val="single" w:sz="4" w:space="0" w:color="000000"/>
              <w:left w:val="single" w:sz="4" w:space="0" w:color="000000"/>
              <w:bottom w:val="single" w:sz="4" w:space="0" w:color="000000"/>
              <w:right w:val="single" w:sz="4" w:space="0" w:color="000000"/>
            </w:tcBorders>
            <w:shd w:val="clear" w:color="auto" w:fill="FFFFFF"/>
            <w:vAlign w:val="bottom"/>
            <w:hideMark/>
          </w:tcPr>
          <w:p w:rsidR="00ED7F17" w:rsidRDefault="00ED7F17">
            <w:pPr>
              <w:suppressAutoHyphens w:val="0"/>
              <w:jc w:val="center"/>
              <w:textAlignment w:val="center"/>
              <w:rPr>
                <w:rFonts w:ascii="Arial" w:eastAsia="Arial" w:hAnsi="Arial" w:cs="Arial"/>
                <w:sz w:val="22"/>
                <w:szCs w:val="22"/>
              </w:rPr>
            </w:pPr>
            <w:r>
              <w:rPr>
                <w:color w:val="000000"/>
                <w:kern w:val="2"/>
                <w:lang w:eastAsia="ru-RU"/>
              </w:rPr>
              <w:t>-10,8</w:t>
            </w:r>
          </w:p>
        </w:tc>
      </w:tr>
      <w:tr w:rsidR="00ED7F17" w:rsidTr="00ED7F17">
        <w:trPr>
          <w:trHeight w:val="315"/>
        </w:trPr>
        <w:tc>
          <w:tcPr>
            <w:tcW w:w="3648" w:type="dxa"/>
            <w:tcBorders>
              <w:top w:val="single" w:sz="4" w:space="0" w:color="000000"/>
              <w:left w:val="single" w:sz="4" w:space="0" w:color="000000"/>
              <w:bottom w:val="single" w:sz="4" w:space="0" w:color="000000"/>
              <w:right w:val="nil"/>
            </w:tcBorders>
            <w:shd w:val="clear" w:color="auto" w:fill="FFFFFF"/>
            <w:vAlign w:val="center"/>
            <w:hideMark/>
          </w:tcPr>
          <w:p w:rsidR="00ED7F17" w:rsidRDefault="00ED7F17">
            <w:pPr>
              <w:suppressAutoHyphens w:val="0"/>
              <w:textAlignment w:val="center"/>
              <w:rPr>
                <w:rFonts w:ascii="Arial" w:eastAsia="Arial" w:hAnsi="Arial" w:cs="Arial"/>
                <w:sz w:val="22"/>
                <w:szCs w:val="22"/>
              </w:rPr>
            </w:pPr>
            <w:r>
              <w:rPr>
                <w:color w:val="000000"/>
                <w:kern w:val="2"/>
                <w:lang w:eastAsia="ru-RU"/>
              </w:rPr>
              <w:t>г. Астрахань</w:t>
            </w:r>
          </w:p>
        </w:tc>
        <w:tc>
          <w:tcPr>
            <w:tcW w:w="2069" w:type="dxa"/>
            <w:tcBorders>
              <w:top w:val="single" w:sz="4" w:space="0" w:color="000000"/>
              <w:left w:val="single" w:sz="4" w:space="0" w:color="000000"/>
              <w:bottom w:val="single" w:sz="4" w:space="0" w:color="000000"/>
              <w:right w:val="nil"/>
            </w:tcBorders>
            <w:shd w:val="clear" w:color="auto" w:fill="FFFFFF"/>
            <w:vAlign w:val="bottom"/>
            <w:hideMark/>
          </w:tcPr>
          <w:p w:rsidR="00ED7F17" w:rsidRDefault="00ED7F17">
            <w:pPr>
              <w:suppressAutoHyphens w:val="0"/>
              <w:jc w:val="center"/>
              <w:textAlignment w:val="center"/>
              <w:rPr>
                <w:rFonts w:ascii="Arial" w:eastAsia="Arial" w:hAnsi="Arial" w:cs="Arial"/>
                <w:sz w:val="22"/>
                <w:szCs w:val="22"/>
              </w:rPr>
            </w:pPr>
            <w:r>
              <w:rPr>
                <w:color w:val="000000"/>
                <w:kern w:val="2"/>
                <w:lang w:eastAsia="ru-RU"/>
              </w:rPr>
              <w:t>11,0</w:t>
            </w:r>
          </w:p>
        </w:tc>
        <w:tc>
          <w:tcPr>
            <w:tcW w:w="1934" w:type="dxa"/>
            <w:tcBorders>
              <w:top w:val="single" w:sz="4" w:space="0" w:color="000000"/>
              <w:left w:val="single" w:sz="4" w:space="0" w:color="000000"/>
              <w:bottom w:val="single" w:sz="4" w:space="0" w:color="000000"/>
              <w:right w:val="nil"/>
            </w:tcBorders>
            <w:shd w:val="clear" w:color="auto" w:fill="FFFFFF"/>
            <w:vAlign w:val="bottom"/>
            <w:hideMark/>
          </w:tcPr>
          <w:p w:rsidR="00ED7F17" w:rsidRDefault="00ED7F17">
            <w:pPr>
              <w:suppressAutoHyphens w:val="0"/>
              <w:jc w:val="center"/>
              <w:textAlignment w:val="center"/>
              <w:rPr>
                <w:rFonts w:ascii="Arial" w:eastAsia="Arial" w:hAnsi="Arial" w:cs="Arial"/>
                <w:sz w:val="22"/>
                <w:szCs w:val="22"/>
              </w:rPr>
            </w:pPr>
            <w:r>
              <w:rPr>
                <w:color w:val="000000"/>
                <w:kern w:val="2"/>
                <w:lang w:eastAsia="ru-RU"/>
              </w:rPr>
              <w:t>11,4</w:t>
            </w:r>
          </w:p>
        </w:tc>
        <w:tc>
          <w:tcPr>
            <w:tcW w:w="2047" w:type="dxa"/>
            <w:tcBorders>
              <w:top w:val="single" w:sz="4" w:space="0" w:color="000000"/>
              <w:left w:val="single" w:sz="4" w:space="0" w:color="000000"/>
              <w:bottom w:val="single" w:sz="4" w:space="0" w:color="000000"/>
              <w:right w:val="single" w:sz="4" w:space="0" w:color="000000"/>
            </w:tcBorders>
            <w:shd w:val="clear" w:color="auto" w:fill="FFFFFF"/>
            <w:vAlign w:val="bottom"/>
            <w:hideMark/>
          </w:tcPr>
          <w:p w:rsidR="00ED7F17" w:rsidRDefault="00ED7F17">
            <w:pPr>
              <w:suppressAutoHyphens w:val="0"/>
              <w:jc w:val="center"/>
              <w:textAlignment w:val="center"/>
              <w:rPr>
                <w:rFonts w:ascii="Arial" w:eastAsia="Arial" w:hAnsi="Arial" w:cs="Arial"/>
                <w:sz w:val="22"/>
                <w:szCs w:val="22"/>
              </w:rPr>
            </w:pPr>
            <w:r>
              <w:rPr>
                <w:color w:val="000000"/>
                <w:kern w:val="2"/>
                <w:lang w:eastAsia="ru-RU"/>
              </w:rPr>
              <w:t>3,6</w:t>
            </w:r>
          </w:p>
        </w:tc>
      </w:tr>
      <w:tr w:rsidR="00ED7F17" w:rsidTr="00ED7F17">
        <w:trPr>
          <w:trHeight w:val="315"/>
        </w:trPr>
        <w:tc>
          <w:tcPr>
            <w:tcW w:w="3648" w:type="dxa"/>
            <w:tcBorders>
              <w:top w:val="single" w:sz="4" w:space="0" w:color="000000"/>
              <w:left w:val="single" w:sz="4" w:space="0" w:color="000000"/>
              <w:bottom w:val="single" w:sz="4" w:space="0" w:color="000000"/>
              <w:right w:val="nil"/>
            </w:tcBorders>
            <w:shd w:val="clear" w:color="auto" w:fill="FFFFFF"/>
            <w:vAlign w:val="center"/>
            <w:hideMark/>
          </w:tcPr>
          <w:p w:rsidR="00ED7F17" w:rsidRDefault="00ED7F17">
            <w:pPr>
              <w:suppressAutoHyphens w:val="0"/>
              <w:textAlignment w:val="center"/>
              <w:rPr>
                <w:rFonts w:ascii="Arial" w:eastAsia="Arial" w:hAnsi="Arial" w:cs="Arial"/>
                <w:sz w:val="22"/>
                <w:szCs w:val="22"/>
              </w:rPr>
            </w:pPr>
            <w:r>
              <w:rPr>
                <w:b/>
                <w:bCs/>
                <w:color w:val="000000"/>
                <w:kern w:val="2"/>
                <w:lang w:eastAsia="ru-RU"/>
              </w:rPr>
              <w:t>Свод по АО</w:t>
            </w:r>
          </w:p>
        </w:tc>
        <w:tc>
          <w:tcPr>
            <w:tcW w:w="2069" w:type="dxa"/>
            <w:tcBorders>
              <w:top w:val="single" w:sz="4" w:space="0" w:color="000000"/>
              <w:left w:val="single" w:sz="4" w:space="0" w:color="000000"/>
              <w:bottom w:val="single" w:sz="4" w:space="0" w:color="000000"/>
              <w:right w:val="nil"/>
            </w:tcBorders>
            <w:shd w:val="clear" w:color="auto" w:fill="FFFFFF"/>
            <w:vAlign w:val="bottom"/>
            <w:hideMark/>
          </w:tcPr>
          <w:p w:rsidR="00ED7F17" w:rsidRDefault="00ED7F17">
            <w:pPr>
              <w:suppressAutoHyphens w:val="0"/>
              <w:jc w:val="center"/>
              <w:textAlignment w:val="center"/>
              <w:rPr>
                <w:rFonts w:ascii="Arial" w:eastAsia="Arial" w:hAnsi="Arial" w:cs="Arial"/>
                <w:sz w:val="22"/>
                <w:szCs w:val="22"/>
              </w:rPr>
            </w:pPr>
            <w:r>
              <w:rPr>
                <w:b/>
                <w:color w:val="000000"/>
                <w:kern w:val="2"/>
                <w:lang w:eastAsia="ru-RU"/>
              </w:rPr>
              <w:t>11,4</w:t>
            </w:r>
          </w:p>
        </w:tc>
        <w:tc>
          <w:tcPr>
            <w:tcW w:w="1934" w:type="dxa"/>
            <w:tcBorders>
              <w:top w:val="single" w:sz="4" w:space="0" w:color="000000"/>
              <w:left w:val="single" w:sz="4" w:space="0" w:color="000000"/>
              <w:bottom w:val="single" w:sz="4" w:space="0" w:color="000000"/>
              <w:right w:val="nil"/>
            </w:tcBorders>
            <w:shd w:val="clear" w:color="auto" w:fill="FFFFFF"/>
            <w:vAlign w:val="bottom"/>
            <w:hideMark/>
          </w:tcPr>
          <w:p w:rsidR="00ED7F17" w:rsidRDefault="00ED7F17">
            <w:pPr>
              <w:suppressAutoHyphens w:val="0"/>
              <w:jc w:val="center"/>
              <w:textAlignment w:val="center"/>
              <w:rPr>
                <w:rFonts w:ascii="Arial" w:eastAsia="Arial" w:hAnsi="Arial" w:cs="Arial"/>
                <w:sz w:val="22"/>
                <w:szCs w:val="22"/>
              </w:rPr>
            </w:pPr>
            <w:r>
              <w:rPr>
                <w:b/>
                <w:color w:val="000000"/>
                <w:kern w:val="2"/>
                <w:lang w:eastAsia="ru-RU"/>
              </w:rPr>
              <w:t>11,6</w:t>
            </w:r>
          </w:p>
        </w:tc>
        <w:tc>
          <w:tcPr>
            <w:tcW w:w="2047" w:type="dxa"/>
            <w:tcBorders>
              <w:top w:val="single" w:sz="4" w:space="0" w:color="000000"/>
              <w:left w:val="single" w:sz="4" w:space="0" w:color="000000"/>
              <w:bottom w:val="single" w:sz="4" w:space="0" w:color="000000"/>
              <w:right w:val="single" w:sz="4" w:space="0" w:color="000000"/>
            </w:tcBorders>
            <w:shd w:val="clear" w:color="auto" w:fill="FFFFFF"/>
            <w:vAlign w:val="bottom"/>
            <w:hideMark/>
          </w:tcPr>
          <w:p w:rsidR="00ED7F17" w:rsidRDefault="00ED7F17">
            <w:pPr>
              <w:suppressAutoHyphens w:val="0"/>
              <w:jc w:val="center"/>
              <w:textAlignment w:val="center"/>
              <w:rPr>
                <w:rFonts w:ascii="Arial" w:eastAsia="Arial" w:hAnsi="Arial" w:cs="Arial"/>
                <w:sz w:val="22"/>
                <w:szCs w:val="22"/>
              </w:rPr>
            </w:pPr>
            <w:r>
              <w:rPr>
                <w:b/>
                <w:color w:val="000000"/>
                <w:kern w:val="2"/>
                <w:lang w:eastAsia="ru-RU"/>
              </w:rPr>
              <w:t>1,8</w:t>
            </w:r>
          </w:p>
        </w:tc>
      </w:tr>
    </w:tbl>
    <w:p w:rsidR="00ED7F17" w:rsidRDefault="00ED7F17" w:rsidP="00ED7F17">
      <w:pPr>
        <w:tabs>
          <w:tab w:val="left" w:pos="360"/>
        </w:tabs>
        <w:suppressAutoHyphens w:val="0"/>
        <w:spacing w:after="160"/>
        <w:contextualSpacing/>
        <w:jc w:val="center"/>
        <w:rPr>
          <w:rFonts w:eastAsia="Cambria"/>
          <w:color w:val="000000"/>
          <w:lang w:val="x-none" w:eastAsia="en-US"/>
        </w:rPr>
      </w:pPr>
    </w:p>
    <w:p w:rsidR="00ED7F17" w:rsidRDefault="00ED7F17" w:rsidP="00ED7F17">
      <w:pPr>
        <w:tabs>
          <w:tab w:val="left" w:pos="360"/>
        </w:tabs>
        <w:suppressAutoHyphens w:val="0"/>
        <w:spacing w:after="160"/>
        <w:contextualSpacing/>
        <w:jc w:val="center"/>
        <w:rPr>
          <w:rFonts w:eastAsia="Cambria"/>
          <w:color w:val="000000"/>
          <w:lang w:val="x-none" w:eastAsia="en-US"/>
        </w:rPr>
      </w:pPr>
    </w:p>
    <w:p w:rsidR="00ED7F17" w:rsidRDefault="00ED7F17" w:rsidP="00ED7F17">
      <w:pPr>
        <w:tabs>
          <w:tab w:val="left" w:pos="360"/>
        </w:tabs>
        <w:suppressAutoHyphens w:val="0"/>
        <w:spacing w:after="160"/>
        <w:contextualSpacing/>
        <w:jc w:val="center"/>
        <w:rPr>
          <w:rFonts w:ascii="Arial" w:eastAsia="Arial" w:hAnsi="Arial" w:cs="Arial"/>
          <w:sz w:val="22"/>
          <w:szCs w:val="22"/>
        </w:rPr>
      </w:pPr>
      <w:r>
        <w:rPr>
          <w:rFonts w:eastAsia="Cambria"/>
          <w:b/>
          <w:color w:val="000000"/>
          <w:lang w:val="x-none" w:eastAsia="en-US"/>
        </w:rPr>
        <w:t xml:space="preserve">Смертность населения </w:t>
      </w:r>
      <w:r>
        <w:rPr>
          <w:rFonts w:eastAsia="Cambria"/>
          <w:b/>
          <w:color w:val="000000"/>
          <w:lang w:eastAsia="en-US"/>
        </w:rPr>
        <w:t>Астраханской</w:t>
      </w:r>
      <w:r>
        <w:rPr>
          <w:rFonts w:eastAsia="Cambria"/>
          <w:b/>
          <w:color w:val="000000"/>
          <w:lang w:val="x-none" w:eastAsia="en-US"/>
        </w:rPr>
        <w:t xml:space="preserve"> области</w:t>
      </w:r>
    </w:p>
    <w:p w:rsidR="00ED7F17" w:rsidRDefault="00ED7F17" w:rsidP="00ED7F17">
      <w:pPr>
        <w:tabs>
          <w:tab w:val="left" w:pos="360"/>
        </w:tabs>
        <w:suppressAutoHyphens w:val="0"/>
        <w:spacing w:after="160"/>
        <w:contextualSpacing/>
        <w:jc w:val="center"/>
      </w:pPr>
      <w:r>
        <w:rPr>
          <w:rFonts w:eastAsia="Cambria"/>
          <w:b/>
          <w:color w:val="000000"/>
          <w:lang w:val="x-none" w:eastAsia="en-US"/>
        </w:rPr>
        <w:t>от сердечно-сосудистых заболеваний в 2014 -2018 гг.</w:t>
      </w:r>
    </w:p>
    <w:p w:rsidR="00ED7F17" w:rsidRDefault="00ED7F17" w:rsidP="00ED7F17">
      <w:pPr>
        <w:ind w:firstLine="709"/>
        <w:jc w:val="both"/>
      </w:pPr>
      <w:r>
        <w:t>От болезней системы кровообращения (далее – БСК) за 2018 год умерло 5 752 человек, что на 683 человека меньше, чем в 2014 году (6435 человек). Показатель смертности от БСК уменьшился на 11% (с 632,3 в 2014 году до 565,3 на 100 тыс. населения в 2018 году), по РФ 573,6, по ЮФО 601,2.</w:t>
      </w:r>
    </w:p>
    <w:p w:rsidR="00ED7F17" w:rsidRDefault="00ED7F17" w:rsidP="00ED7F17">
      <w:pPr>
        <w:ind w:firstLine="709"/>
        <w:jc w:val="both"/>
      </w:pPr>
      <w:r>
        <w:t xml:space="preserve">Среди районов Астраханской области в 2018 году самый высокий показатель смертности от БСК отмечается в Камызякском районе (754,9 на 100 тыс. населения), самый низкий - в Красноярском районе (423,7).  </w:t>
      </w:r>
    </w:p>
    <w:p w:rsidR="00ED7F17" w:rsidRDefault="00ED7F17" w:rsidP="00ED7F17">
      <w:pPr>
        <w:ind w:firstLine="709"/>
        <w:jc w:val="both"/>
      </w:pPr>
      <w:r>
        <w:t>За последние 5 лет положительная динамика показателя отмечается в Ахтубинском, Володарском, Камызякском, Икрянинском, Лиманском, Наримановском, Приволжском районах, в ЗАТО Знаменск и г. Астрахани. Рост показателя отмечается в Енотаевском, Красноярском, Харабалинском, Черноярском районах.</w:t>
      </w:r>
    </w:p>
    <w:tbl>
      <w:tblPr>
        <w:tblW w:w="0" w:type="auto"/>
        <w:tblInd w:w="-15" w:type="dxa"/>
        <w:tblLayout w:type="fixed"/>
        <w:tblLook w:val="04A0" w:firstRow="1" w:lastRow="0" w:firstColumn="1" w:lastColumn="0" w:noHBand="0" w:noVBand="1"/>
      </w:tblPr>
      <w:tblGrid>
        <w:gridCol w:w="2636"/>
        <w:gridCol w:w="877"/>
        <w:gridCol w:w="879"/>
        <w:gridCol w:w="670"/>
        <w:gridCol w:w="702"/>
        <w:gridCol w:w="648"/>
        <w:gridCol w:w="700"/>
        <w:gridCol w:w="662"/>
        <w:gridCol w:w="700"/>
        <w:gridCol w:w="678"/>
        <w:gridCol w:w="702"/>
        <w:gridCol w:w="30"/>
      </w:tblGrid>
      <w:tr w:rsidR="00ED7F17" w:rsidTr="00ED7F17">
        <w:trPr>
          <w:gridAfter w:val="1"/>
          <w:wAfter w:w="30" w:type="dxa"/>
          <w:trHeight w:val="525"/>
        </w:trPr>
        <w:tc>
          <w:tcPr>
            <w:tcW w:w="9854" w:type="dxa"/>
            <w:gridSpan w:val="11"/>
            <w:vAlign w:val="center"/>
          </w:tcPr>
          <w:p w:rsidR="00ED7F17" w:rsidRDefault="00ED7F17">
            <w:pPr>
              <w:suppressAutoHyphens w:val="0"/>
              <w:snapToGrid w:val="0"/>
              <w:jc w:val="center"/>
              <w:rPr>
                <w:bCs/>
                <w:color w:val="000000"/>
                <w:sz w:val="28"/>
                <w:szCs w:val="28"/>
                <w:lang w:eastAsia="ru-RU"/>
              </w:rPr>
            </w:pPr>
            <w:bookmarkStart w:id="1" w:name="RANGE!A1%25253AO21"/>
          </w:p>
          <w:p w:rsidR="00ED7F17" w:rsidRDefault="00ED7F17">
            <w:pPr>
              <w:suppressAutoHyphens w:val="0"/>
              <w:jc w:val="center"/>
              <w:rPr>
                <w:rFonts w:ascii="Arial" w:eastAsia="Arial" w:hAnsi="Arial" w:cs="Arial"/>
                <w:sz w:val="22"/>
                <w:szCs w:val="22"/>
              </w:rPr>
            </w:pPr>
            <w:r>
              <w:rPr>
                <w:bCs/>
                <w:color w:val="000000"/>
                <w:lang w:eastAsia="ru-RU"/>
              </w:rPr>
              <w:t>Смертность населения Астраханской области от БСК за 2014 - 2018 г</w:t>
            </w:r>
            <w:bookmarkEnd w:id="1"/>
            <w:r>
              <w:rPr>
                <w:bCs/>
                <w:color w:val="000000"/>
                <w:lang w:eastAsia="ru-RU"/>
              </w:rPr>
              <w:t>оды</w:t>
            </w:r>
          </w:p>
          <w:p w:rsidR="00ED7F17" w:rsidRDefault="00ED7F17">
            <w:pPr>
              <w:suppressAutoHyphens w:val="0"/>
              <w:jc w:val="center"/>
              <w:rPr>
                <w:bCs/>
                <w:color w:val="000000"/>
                <w:lang w:eastAsia="ru-RU"/>
              </w:rPr>
            </w:pPr>
          </w:p>
          <w:p w:rsidR="00ED7F17" w:rsidRDefault="00ED7F17">
            <w:pPr>
              <w:suppressAutoHyphens w:val="0"/>
              <w:jc w:val="center"/>
              <w:rPr>
                <w:bCs/>
                <w:color w:val="000000"/>
                <w:lang w:eastAsia="ru-RU"/>
              </w:rPr>
            </w:pPr>
            <w:r>
              <w:rPr>
                <w:rFonts w:eastAsia="Calibri"/>
                <w:noProof/>
                <w:color w:val="auto"/>
                <w:sz w:val="28"/>
                <w:lang w:eastAsia="ru-RU"/>
              </w:rPr>
              <w:drawing>
                <wp:inline distT="0" distB="0" distL="0" distR="0">
                  <wp:extent cx="3497580" cy="422148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5">
                            <a:extLst>
                              <a:ext uri="{28A0092B-C50C-407E-A947-70E740481C1C}">
                                <a14:useLocalDpi xmlns:a14="http://schemas.microsoft.com/office/drawing/2010/main" val="0"/>
                              </a:ext>
                            </a:extLst>
                          </a:blip>
                          <a:srcRect l="-23" t="-18" r="-23" b="-18"/>
                          <a:stretch>
                            <a:fillRect/>
                          </a:stretch>
                        </pic:blipFill>
                        <pic:spPr bwMode="auto">
                          <a:xfrm>
                            <a:off x="0" y="0"/>
                            <a:ext cx="3497580" cy="4221480"/>
                          </a:xfrm>
                          <a:prstGeom prst="rect">
                            <a:avLst/>
                          </a:prstGeom>
                          <a:solidFill>
                            <a:srgbClr val="FFFFFF"/>
                          </a:solidFill>
                          <a:ln>
                            <a:noFill/>
                          </a:ln>
                        </pic:spPr>
                      </pic:pic>
                    </a:graphicData>
                  </a:graphic>
                </wp:inline>
              </w:drawing>
            </w:r>
          </w:p>
          <w:p w:rsidR="00ED7F17" w:rsidRDefault="00ED7F17">
            <w:pPr>
              <w:suppressAutoHyphens w:val="0"/>
              <w:jc w:val="center"/>
              <w:rPr>
                <w:bCs/>
                <w:color w:val="000000"/>
                <w:lang w:eastAsia="ru-RU"/>
              </w:rPr>
            </w:pPr>
          </w:p>
        </w:tc>
      </w:tr>
      <w:tr w:rsidR="00ED7F17" w:rsidTr="00ED7F17">
        <w:trPr>
          <w:trHeight w:val="315"/>
        </w:trPr>
        <w:tc>
          <w:tcPr>
            <w:tcW w:w="2636" w:type="dxa"/>
            <w:vMerge w:val="restart"/>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Территория</w:t>
            </w:r>
          </w:p>
        </w:tc>
        <w:tc>
          <w:tcPr>
            <w:tcW w:w="7248" w:type="dxa"/>
            <w:gridSpan w:val="11"/>
            <w:tcBorders>
              <w:top w:val="single" w:sz="4" w:space="0" w:color="000000"/>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Болезни системы кровообращения</w:t>
            </w:r>
          </w:p>
        </w:tc>
      </w:tr>
      <w:tr w:rsidR="00ED7F17" w:rsidTr="00ED7F17">
        <w:trPr>
          <w:trHeight w:val="315"/>
        </w:trPr>
        <w:tc>
          <w:tcPr>
            <w:tcW w:w="9854" w:type="dxa"/>
            <w:vMerge/>
            <w:tcBorders>
              <w:top w:val="single" w:sz="4" w:space="0" w:color="000000"/>
              <w:left w:val="single" w:sz="4"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1756" w:type="dxa"/>
            <w:gridSpan w:val="2"/>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2014</w:t>
            </w:r>
          </w:p>
        </w:tc>
        <w:tc>
          <w:tcPr>
            <w:tcW w:w="1372" w:type="dxa"/>
            <w:gridSpan w:val="2"/>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2015</w:t>
            </w:r>
          </w:p>
        </w:tc>
        <w:tc>
          <w:tcPr>
            <w:tcW w:w="1348" w:type="dxa"/>
            <w:gridSpan w:val="2"/>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2016</w:t>
            </w:r>
          </w:p>
        </w:tc>
        <w:tc>
          <w:tcPr>
            <w:tcW w:w="1362" w:type="dxa"/>
            <w:gridSpan w:val="2"/>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2017</w:t>
            </w:r>
          </w:p>
        </w:tc>
        <w:tc>
          <w:tcPr>
            <w:tcW w:w="1410" w:type="dxa"/>
            <w:gridSpan w:val="3"/>
            <w:tcBorders>
              <w:top w:val="single" w:sz="4" w:space="0" w:color="000000"/>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2018</w:t>
            </w:r>
          </w:p>
        </w:tc>
      </w:tr>
      <w:tr w:rsidR="00ED7F17" w:rsidTr="00ED7F17">
        <w:trPr>
          <w:trHeight w:val="480"/>
        </w:trPr>
        <w:tc>
          <w:tcPr>
            <w:tcW w:w="9854" w:type="dxa"/>
            <w:vMerge/>
            <w:tcBorders>
              <w:top w:val="single" w:sz="4" w:space="0" w:color="000000"/>
              <w:left w:val="single" w:sz="4"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87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87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c>
          <w:tcPr>
            <w:tcW w:w="67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c>
          <w:tcPr>
            <w:tcW w:w="64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c>
          <w:tcPr>
            <w:tcW w:w="66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c>
          <w:tcPr>
            <w:tcW w:w="67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732"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r>
      <w:tr w:rsidR="00ED7F17" w:rsidTr="00ED7F17">
        <w:trPr>
          <w:trHeight w:val="315"/>
        </w:trPr>
        <w:tc>
          <w:tcPr>
            <w:tcW w:w="2636"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Ахтубинский район</w:t>
            </w:r>
          </w:p>
        </w:tc>
        <w:tc>
          <w:tcPr>
            <w:tcW w:w="87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401</w:t>
            </w:r>
          </w:p>
        </w:tc>
        <w:tc>
          <w:tcPr>
            <w:tcW w:w="87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802,5</w:t>
            </w:r>
          </w:p>
        </w:tc>
        <w:tc>
          <w:tcPr>
            <w:tcW w:w="67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329</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658,4</w:t>
            </w:r>
          </w:p>
        </w:tc>
        <w:tc>
          <w:tcPr>
            <w:tcW w:w="64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340</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690,1</w:t>
            </w:r>
          </w:p>
        </w:tc>
        <w:tc>
          <w:tcPr>
            <w:tcW w:w="66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345</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711,6</w:t>
            </w:r>
          </w:p>
        </w:tc>
        <w:tc>
          <w:tcPr>
            <w:tcW w:w="67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316</w:t>
            </w:r>
          </w:p>
        </w:tc>
        <w:tc>
          <w:tcPr>
            <w:tcW w:w="732"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652,1</w:t>
            </w:r>
          </w:p>
        </w:tc>
      </w:tr>
      <w:tr w:rsidR="00ED7F17" w:rsidTr="00ED7F17">
        <w:trPr>
          <w:trHeight w:val="315"/>
        </w:trPr>
        <w:tc>
          <w:tcPr>
            <w:tcW w:w="2636"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Володарский район</w:t>
            </w:r>
          </w:p>
        </w:tc>
        <w:tc>
          <w:tcPr>
            <w:tcW w:w="87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241</w:t>
            </w:r>
          </w:p>
        </w:tc>
        <w:tc>
          <w:tcPr>
            <w:tcW w:w="87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501,2</w:t>
            </w:r>
          </w:p>
        </w:tc>
        <w:tc>
          <w:tcPr>
            <w:tcW w:w="67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192</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399,3</w:t>
            </w:r>
          </w:p>
        </w:tc>
        <w:tc>
          <w:tcPr>
            <w:tcW w:w="64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190</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399,2</w:t>
            </w:r>
          </w:p>
        </w:tc>
        <w:tc>
          <w:tcPr>
            <w:tcW w:w="66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183</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385,3</w:t>
            </w:r>
          </w:p>
        </w:tc>
        <w:tc>
          <w:tcPr>
            <w:tcW w:w="67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224</w:t>
            </w:r>
          </w:p>
        </w:tc>
        <w:tc>
          <w:tcPr>
            <w:tcW w:w="732"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475,9</w:t>
            </w:r>
          </w:p>
        </w:tc>
      </w:tr>
      <w:tr w:rsidR="00ED7F17" w:rsidTr="00ED7F17">
        <w:trPr>
          <w:trHeight w:val="315"/>
        </w:trPr>
        <w:tc>
          <w:tcPr>
            <w:tcW w:w="2636"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Енотаевский район</w:t>
            </w:r>
          </w:p>
        </w:tc>
        <w:tc>
          <w:tcPr>
            <w:tcW w:w="87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118</w:t>
            </w:r>
          </w:p>
        </w:tc>
        <w:tc>
          <w:tcPr>
            <w:tcW w:w="87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453,7</w:t>
            </w:r>
          </w:p>
        </w:tc>
        <w:tc>
          <w:tcPr>
            <w:tcW w:w="67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127</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488,3</w:t>
            </w:r>
          </w:p>
        </w:tc>
        <w:tc>
          <w:tcPr>
            <w:tcW w:w="64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151</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584,1</w:t>
            </w:r>
          </w:p>
        </w:tc>
        <w:tc>
          <w:tcPr>
            <w:tcW w:w="66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133</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515,8</w:t>
            </w:r>
          </w:p>
        </w:tc>
        <w:tc>
          <w:tcPr>
            <w:tcW w:w="67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128</w:t>
            </w:r>
          </w:p>
        </w:tc>
        <w:tc>
          <w:tcPr>
            <w:tcW w:w="732"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503,8</w:t>
            </w:r>
          </w:p>
        </w:tc>
      </w:tr>
      <w:tr w:rsidR="00ED7F17" w:rsidTr="00ED7F17">
        <w:trPr>
          <w:trHeight w:val="315"/>
        </w:trPr>
        <w:tc>
          <w:tcPr>
            <w:tcW w:w="2636"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Икрянинский район</w:t>
            </w:r>
          </w:p>
        </w:tc>
        <w:tc>
          <w:tcPr>
            <w:tcW w:w="87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332</w:t>
            </w:r>
          </w:p>
        </w:tc>
        <w:tc>
          <w:tcPr>
            <w:tcW w:w="87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690,5</w:t>
            </w:r>
          </w:p>
        </w:tc>
        <w:tc>
          <w:tcPr>
            <w:tcW w:w="67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339</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705,0</w:t>
            </w:r>
          </w:p>
        </w:tc>
        <w:tc>
          <w:tcPr>
            <w:tcW w:w="64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325</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681,7</w:t>
            </w:r>
          </w:p>
        </w:tc>
        <w:tc>
          <w:tcPr>
            <w:tcW w:w="66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291</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610,9</w:t>
            </w:r>
          </w:p>
        </w:tc>
        <w:tc>
          <w:tcPr>
            <w:tcW w:w="67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277</w:t>
            </w:r>
          </w:p>
        </w:tc>
        <w:tc>
          <w:tcPr>
            <w:tcW w:w="732"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585,5</w:t>
            </w:r>
          </w:p>
        </w:tc>
      </w:tr>
      <w:tr w:rsidR="00ED7F17" w:rsidTr="00ED7F17">
        <w:trPr>
          <w:trHeight w:val="315"/>
        </w:trPr>
        <w:tc>
          <w:tcPr>
            <w:tcW w:w="2636"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Камызякский район</w:t>
            </w:r>
          </w:p>
        </w:tc>
        <w:tc>
          <w:tcPr>
            <w:tcW w:w="87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416</w:t>
            </w:r>
          </w:p>
        </w:tc>
        <w:tc>
          <w:tcPr>
            <w:tcW w:w="87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862,1</w:t>
            </w:r>
          </w:p>
        </w:tc>
        <w:tc>
          <w:tcPr>
            <w:tcW w:w="67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338</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700,4</w:t>
            </w:r>
          </w:p>
        </w:tc>
        <w:tc>
          <w:tcPr>
            <w:tcW w:w="64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281</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587,4</w:t>
            </w:r>
          </w:p>
        </w:tc>
        <w:tc>
          <w:tcPr>
            <w:tcW w:w="66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309</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649,7</w:t>
            </w:r>
          </w:p>
        </w:tc>
        <w:tc>
          <w:tcPr>
            <w:tcW w:w="67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355</w:t>
            </w:r>
          </w:p>
        </w:tc>
        <w:tc>
          <w:tcPr>
            <w:tcW w:w="732"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754,9</w:t>
            </w:r>
          </w:p>
        </w:tc>
      </w:tr>
      <w:tr w:rsidR="00ED7F17" w:rsidTr="00ED7F17">
        <w:trPr>
          <w:trHeight w:val="315"/>
        </w:trPr>
        <w:tc>
          <w:tcPr>
            <w:tcW w:w="2636"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Красноярский район</w:t>
            </w:r>
          </w:p>
        </w:tc>
        <w:tc>
          <w:tcPr>
            <w:tcW w:w="87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153</w:t>
            </w:r>
          </w:p>
        </w:tc>
        <w:tc>
          <w:tcPr>
            <w:tcW w:w="87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415,9</w:t>
            </w:r>
          </w:p>
        </w:tc>
        <w:tc>
          <w:tcPr>
            <w:tcW w:w="67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163</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443,1</w:t>
            </w:r>
          </w:p>
        </w:tc>
        <w:tc>
          <w:tcPr>
            <w:tcW w:w="64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126</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340,9</w:t>
            </w:r>
          </w:p>
        </w:tc>
        <w:tc>
          <w:tcPr>
            <w:tcW w:w="66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139</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372,5</w:t>
            </w:r>
          </w:p>
        </w:tc>
        <w:tc>
          <w:tcPr>
            <w:tcW w:w="67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157</w:t>
            </w:r>
          </w:p>
        </w:tc>
        <w:tc>
          <w:tcPr>
            <w:tcW w:w="732"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423,7</w:t>
            </w:r>
          </w:p>
        </w:tc>
      </w:tr>
      <w:tr w:rsidR="00ED7F17" w:rsidTr="00ED7F17">
        <w:trPr>
          <w:trHeight w:val="315"/>
        </w:trPr>
        <w:tc>
          <w:tcPr>
            <w:tcW w:w="2636"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Лиманский район</w:t>
            </w:r>
          </w:p>
        </w:tc>
        <w:tc>
          <w:tcPr>
            <w:tcW w:w="87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222</w:t>
            </w:r>
          </w:p>
        </w:tc>
        <w:tc>
          <w:tcPr>
            <w:tcW w:w="87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709,1</w:t>
            </w:r>
          </w:p>
        </w:tc>
        <w:tc>
          <w:tcPr>
            <w:tcW w:w="67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157</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501,5</w:t>
            </w:r>
          </w:p>
        </w:tc>
        <w:tc>
          <w:tcPr>
            <w:tcW w:w="64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162</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519,8</w:t>
            </w:r>
          </w:p>
        </w:tc>
        <w:tc>
          <w:tcPr>
            <w:tcW w:w="66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144</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468,8</w:t>
            </w:r>
          </w:p>
        </w:tc>
        <w:tc>
          <w:tcPr>
            <w:tcW w:w="67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190</w:t>
            </w:r>
          </w:p>
        </w:tc>
        <w:tc>
          <w:tcPr>
            <w:tcW w:w="732"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628,2</w:t>
            </w:r>
          </w:p>
        </w:tc>
      </w:tr>
      <w:tr w:rsidR="00ED7F17" w:rsidTr="00ED7F17">
        <w:trPr>
          <w:trHeight w:val="315"/>
        </w:trPr>
        <w:tc>
          <w:tcPr>
            <w:tcW w:w="2636"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Наримановский район</w:t>
            </w:r>
          </w:p>
        </w:tc>
        <w:tc>
          <w:tcPr>
            <w:tcW w:w="87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234</w:t>
            </w:r>
          </w:p>
        </w:tc>
        <w:tc>
          <w:tcPr>
            <w:tcW w:w="87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490,2</w:t>
            </w:r>
          </w:p>
        </w:tc>
        <w:tc>
          <w:tcPr>
            <w:tcW w:w="67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214</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448,3</w:t>
            </w:r>
          </w:p>
        </w:tc>
        <w:tc>
          <w:tcPr>
            <w:tcW w:w="64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216</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453,1</w:t>
            </w:r>
          </w:p>
        </w:tc>
        <w:tc>
          <w:tcPr>
            <w:tcW w:w="66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214</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446,3</w:t>
            </w:r>
          </w:p>
        </w:tc>
        <w:tc>
          <w:tcPr>
            <w:tcW w:w="67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205</w:t>
            </w:r>
          </w:p>
        </w:tc>
        <w:tc>
          <w:tcPr>
            <w:tcW w:w="732"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425,7</w:t>
            </w:r>
          </w:p>
        </w:tc>
      </w:tr>
      <w:tr w:rsidR="00ED7F17" w:rsidTr="00ED7F17">
        <w:trPr>
          <w:trHeight w:val="315"/>
        </w:trPr>
        <w:tc>
          <w:tcPr>
            <w:tcW w:w="2636"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Приволжский район</w:t>
            </w:r>
          </w:p>
        </w:tc>
        <w:tc>
          <w:tcPr>
            <w:tcW w:w="87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217</w:t>
            </w:r>
          </w:p>
        </w:tc>
        <w:tc>
          <w:tcPr>
            <w:tcW w:w="87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447,5</w:t>
            </w:r>
          </w:p>
        </w:tc>
        <w:tc>
          <w:tcPr>
            <w:tcW w:w="67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229</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472,3</w:t>
            </w:r>
          </w:p>
        </w:tc>
        <w:tc>
          <w:tcPr>
            <w:tcW w:w="64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232</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469,3</w:t>
            </w:r>
          </w:p>
        </w:tc>
        <w:tc>
          <w:tcPr>
            <w:tcW w:w="66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207</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411,5</w:t>
            </w:r>
          </w:p>
        </w:tc>
        <w:tc>
          <w:tcPr>
            <w:tcW w:w="67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228</w:t>
            </w:r>
          </w:p>
        </w:tc>
        <w:tc>
          <w:tcPr>
            <w:tcW w:w="732"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446,5</w:t>
            </w:r>
          </w:p>
        </w:tc>
      </w:tr>
      <w:tr w:rsidR="00ED7F17" w:rsidTr="00ED7F17">
        <w:trPr>
          <w:trHeight w:val="315"/>
        </w:trPr>
        <w:tc>
          <w:tcPr>
            <w:tcW w:w="2636"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Харабалинский район</w:t>
            </w:r>
          </w:p>
        </w:tc>
        <w:tc>
          <w:tcPr>
            <w:tcW w:w="87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210</w:t>
            </w:r>
          </w:p>
        </w:tc>
        <w:tc>
          <w:tcPr>
            <w:tcW w:w="87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513,7</w:t>
            </w:r>
          </w:p>
        </w:tc>
        <w:tc>
          <w:tcPr>
            <w:tcW w:w="67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234</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572,5</w:t>
            </w:r>
          </w:p>
        </w:tc>
        <w:tc>
          <w:tcPr>
            <w:tcW w:w="64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181</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443,1</w:t>
            </w:r>
          </w:p>
        </w:tc>
        <w:tc>
          <w:tcPr>
            <w:tcW w:w="66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205</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502,9</w:t>
            </w:r>
          </w:p>
        </w:tc>
        <w:tc>
          <w:tcPr>
            <w:tcW w:w="67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215</w:t>
            </w:r>
          </w:p>
        </w:tc>
        <w:tc>
          <w:tcPr>
            <w:tcW w:w="732"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530,7</w:t>
            </w:r>
          </w:p>
        </w:tc>
      </w:tr>
      <w:tr w:rsidR="00ED7F17" w:rsidTr="00ED7F17">
        <w:trPr>
          <w:trHeight w:val="315"/>
        </w:trPr>
        <w:tc>
          <w:tcPr>
            <w:tcW w:w="2636"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Черноярский район</w:t>
            </w:r>
          </w:p>
        </w:tc>
        <w:tc>
          <w:tcPr>
            <w:tcW w:w="87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114</w:t>
            </w:r>
          </w:p>
        </w:tc>
        <w:tc>
          <w:tcPr>
            <w:tcW w:w="87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580,1</w:t>
            </w:r>
          </w:p>
        </w:tc>
        <w:tc>
          <w:tcPr>
            <w:tcW w:w="67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116</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590,2</w:t>
            </w:r>
          </w:p>
        </w:tc>
        <w:tc>
          <w:tcPr>
            <w:tcW w:w="64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78</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401,1</w:t>
            </w:r>
          </w:p>
        </w:tc>
        <w:tc>
          <w:tcPr>
            <w:tcW w:w="66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103</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532,3</w:t>
            </w:r>
          </w:p>
        </w:tc>
        <w:tc>
          <w:tcPr>
            <w:tcW w:w="67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115</w:t>
            </w:r>
          </w:p>
        </w:tc>
        <w:tc>
          <w:tcPr>
            <w:tcW w:w="732"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601,5</w:t>
            </w:r>
          </w:p>
        </w:tc>
      </w:tr>
      <w:tr w:rsidR="00ED7F17" w:rsidTr="00ED7F17">
        <w:trPr>
          <w:trHeight w:val="315"/>
        </w:trPr>
        <w:tc>
          <w:tcPr>
            <w:tcW w:w="2636"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г.Знаменск</w:t>
            </w:r>
          </w:p>
        </w:tc>
        <w:tc>
          <w:tcPr>
            <w:tcW w:w="87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196</w:t>
            </w:r>
          </w:p>
        </w:tc>
        <w:tc>
          <w:tcPr>
            <w:tcW w:w="87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604,6</w:t>
            </w:r>
          </w:p>
        </w:tc>
        <w:tc>
          <w:tcPr>
            <w:tcW w:w="67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148</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456,5</w:t>
            </w:r>
          </w:p>
        </w:tc>
        <w:tc>
          <w:tcPr>
            <w:tcW w:w="64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139</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430,4</w:t>
            </w:r>
          </w:p>
        </w:tc>
        <w:tc>
          <w:tcPr>
            <w:tcW w:w="66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165</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517,3</w:t>
            </w:r>
          </w:p>
        </w:tc>
        <w:tc>
          <w:tcPr>
            <w:tcW w:w="67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168</w:t>
            </w:r>
          </w:p>
        </w:tc>
        <w:tc>
          <w:tcPr>
            <w:tcW w:w="732"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530,9</w:t>
            </w:r>
          </w:p>
        </w:tc>
      </w:tr>
      <w:tr w:rsidR="00ED7F17" w:rsidTr="00ED7F17">
        <w:trPr>
          <w:trHeight w:val="315"/>
        </w:trPr>
        <w:tc>
          <w:tcPr>
            <w:tcW w:w="2636"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bCs/>
                <w:color w:val="000000"/>
                <w:lang w:eastAsia="ru-RU"/>
              </w:rPr>
              <w:t>г. Астрахань</w:t>
            </w:r>
          </w:p>
        </w:tc>
        <w:tc>
          <w:tcPr>
            <w:tcW w:w="877" w:type="dxa"/>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3119</w:t>
            </w:r>
          </w:p>
        </w:tc>
        <w:tc>
          <w:tcPr>
            <w:tcW w:w="879" w:type="dxa"/>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585,5</w:t>
            </w:r>
          </w:p>
        </w:tc>
        <w:tc>
          <w:tcPr>
            <w:tcW w:w="67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2870</w:t>
            </w:r>
          </w:p>
        </w:tc>
        <w:tc>
          <w:tcPr>
            <w:tcW w:w="702" w:type="dxa"/>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538,8</w:t>
            </w:r>
          </w:p>
        </w:tc>
        <w:tc>
          <w:tcPr>
            <w:tcW w:w="648" w:type="dxa"/>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2813</w:t>
            </w:r>
          </w:p>
        </w:tc>
        <w:tc>
          <w:tcPr>
            <w:tcW w:w="700" w:type="dxa"/>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529,0</w:t>
            </w:r>
          </w:p>
        </w:tc>
        <w:tc>
          <w:tcPr>
            <w:tcW w:w="662" w:type="dxa"/>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2767</w:t>
            </w:r>
          </w:p>
        </w:tc>
        <w:tc>
          <w:tcPr>
            <w:tcW w:w="700" w:type="dxa"/>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519,6</w:t>
            </w:r>
          </w:p>
        </w:tc>
        <w:tc>
          <w:tcPr>
            <w:tcW w:w="678" w:type="dxa"/>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2886</w:t>
            </w:r>
          </w:p>
        </w:tc>
        <w:tc>
          <w:tcPr>
            <w:tcW w:w="732" w:type="dxa"/>
            <w:gridSpan w:val="2"/>
            <w:tcBorders>
              <w:top w:val="single" w:sz="4" w:space="0" w:color="000000"/>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540,5</w:t>
            </w:r>
          </w:p>
        </w:tc>
      </w:tr>
      <w:tr w:rsidR="00ED7F17" w:rsidTr="00ED7F17">
        <w:trPr>
          <w:trHeight w:val="315"/>
        </w:trPr>
        <w:tc>
          <w:tcPr>
            <w:tcW w:w="2636"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b/>
                <w:bCs/>
                <w:color w:val="000000"/>
                <w:lang w:eastAsia="ru-RU"/>
              </w:rPr>
              <w:t>Свод по АО</w:t>
            </w:r>
          </w:p>
        </w:tc>
        <w:tc>
          <w:tcPr>
            <w:tcW w:w="87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6439</w:t>
            </w:r>
          </w:p>
        </w:tc>
        <w:tc>
          <w:tcPr>
            <w:tcW w:w="87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632,0</w:t>
            </w:r>
          </w:p>
        </w:tc>
        <w:tc>
          <w:tcPr>
            <w:tcW w:w="67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5886</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576,3</w:t>
            </w:r>
          </w:p>
        </w:tc>
        <w:tc>
          <w:tcPr>
            <w:tcW w:w="64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5616</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551,3</w:t>
            </w:r>
          </w:p>
        </w:tc>
        <w:tc>
          <w:tcPr>
            <w:tcW w:w="66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5537</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543,4</w:t>
            </w:r>
          </w:p>
        </w:tc>
        <w:tc>
          <w:tcPr>
            <w:tcW w:w="67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5752</w:t>
            </w:r>
          </w:p>
        </w:tc>
        <w:tc>
          <w:tcPr>
            <w:tcW w:w="732"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565,3</w:t>
            </w:r>
          </w:p>
        </w:tc>
      </w:tr>
    </w:tbl>
    <w:p w:rsidR="00ED7F17" w:rsidRDefault="00ED7F17" w:rsidP="00ED7F17">
      <w:pPr>
        <w:ind w:firstLine="709"/>
        <w:jc w:val="both"/>
      </w:pPr>
    </w:p>
    <w:p w:rsidR="00ED7F17" w:rsidRDefault="00ED7F17" w:rsidP="00ED7F17">
      <w:pPr>
        <w:ind w:firstLine="709"/>
        <w:jc w:val="both"/>
        <w:rPr>
          <w:rFonts w:ascii="Arial" w:eastAsia="Arial" w:hAnsi="Arial" w:cs="Arial"/>
          <w:sz w:val="22"/>
          <w:szCs w:val="22"/>
        </w:rPr>
      </w:pPr>
      <w:r>
        <w:t>БСК остаются ведущей причиной смерти населения в Астраханской области, обусловив около половины (49%) всех смертей в 2018 году (ЮФО – 47,1%, РФ – 46,4%).</w:t>
      </w:r>
    </w:p>
    <w:p w:rsidR="00ED7F17" w:rsidRDefault="00ED7F17" w:rsidP="00ED7F17">
      <w:pPr>
        <w:ind w:firstLine="709"/>
        <w:jc w:val="both"/>
      </w:pPr>
      <w:r>
        <w:t>В структуре смертности от БСК на первом месте хронические формы ИБС (54,2%), на втором – острые нарушения мозгового кровообращения (17,7%), на третьем – инфаркты миокарда – 8,1%.</w:t>
      </w:r>
    </w:p>
    <w:p w:rsidR="00ED7F17" w:rsidRDefault="00ED7F17" w:rsidP="00ED7F17">
      <w:pPr>
        <w:ind w:firstLine="709"/>
        <w:jc w:val="both"/>
      </w:pPr>
    </w:p>
    <w:tbl>
      <w:tblPr>
        <w:tblW w:w="0" w:type="auto"/>
        <w:tblInd w:w="-15" w:type="dxa"/>
        <w:tblLayout w:type="fixed"/>
        <w:tblLook w:val="04A0" w:firstRow="1" w:lastRow="0" w:firstColumn="1" w:lastColumn="0" w:noHBand="0" w:noVBand="1"/>
      </w:tblPr>
      <w:tblGrid>
        <w:gridCol w:w="4830"/>
        <w:gridCol w:w="1772"/>
        <w:gridCol w:w="1380"/>
        <w:gridCol w:w="1872"/>
        <w:gridCol w:w="30"/>
      </w:tblGrid>
      <w:tr w:rsidR="00ED7F17" w:rsidTr="00ED7F17">
        <w:trPr>
          <w:gridAfter w:val="1"/>
          <w:wAfter w:w="30" w:type="dxa"/>
          <w:trHeight w:val="351"/>
        </w:trPr>
        <w:tc>
          <w:tcPr>
            <w:tcW w:w="9854" w:type="dxa"/>
            <w:gridSpan w:val="4"/>
            <w:tcBorders>
              <w:top w:val="nil"/>
              <w:left w:val="nil"/>
              <w:bottom w:val="single" w:sz="4" w:space="0" w:color="000000"/>
              <w:right w:val="nil"/>
            </w:tcBorders>
            <w:vAlign w:val="center"/>
            <w:hideMark/>
          </w:tcPr>
          <w:p w:rsidR="00ED7F17" w:rsidRDefault="00ED7F17">
            <w:pPr>
              <w:suppressAutoHyphens w:val="0"/>
              <w:ind w:firstLine="1060"/>
              <w:jc w:val="center"/>
              <w:rPr>
                <w:rFonts w:ascii="Arial" w:eastAsia="Arial" w:hAnsi="Arial" w:cs="Arial"/>
                <w:sz w:val="22"/>
                <w:szCs w:val="22"/>
              </w:rPr>
            </w:pPr>
            <w:r>
              <w:rPr>
                <w:color w:val="auto"/>
                <w:lang w:eastAsia="en-US"/>
              </w:rPr>
              <w:t xml:space="preserve"> </w:t>
            </w:r>
          </w:p>
        </w:tc>
      </w:tr>
      <w:tr w:rsidR="00ED7F17" w:rsidTr="00ED7F17">
        <w:trPr>
          <w:trHeight w:val="347"/>
        </w:trPr>
        <w:tc>
          <w:tcPr>
            <w:tcW w:w="4830" w:type="dxa"/>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auto"/>
                <w:lang w:eastAsia="ru-RU"/>
              </w:rPr>
              <w:t>Причина смерти</w:t>
            </w:r>
          </w:p>
        </w:tc>
        <w:tc>
          <w:tcPr>
            <w:tcW w:w="1772" w:type="dxa"/>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auto"/>
                <w:lang w:eastAsia="ru-RU"/>
              </w:rPr>
              <w:t>Код по МКБ-10</w:t>
            </w:r>
          </w:p>
        </w:tc>
        <w:tc>
          <w:tcPr>
            <w:tcW w:w="1380" w:type="dxa"/>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auto"/>
                <w:lang w:eastAsia="ru-RU"/>
              </w:rPr>
              <w:t>Человек</w:t>
            </w:r>
          </w:p>
        </w:tc>
        <w:tc>
          <w:tcPr>
            <w:tcW w:w="1902" w:type="dxa"/>
            <w:gridSpan w:val="2"/>
            <w:tcBorders>
              <w:top w:val="single" w:sz="4" w:space="0" w:color="000000"/>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auto"/>
                <w:lang w:eastAsia="ru-RU"/>
              </w:rPr>
              <w:t>Структура смертности,в%</w:t>
            </w:r>
          </w:p>
        </w:tc>
      </w:tr>
      <w:tr w:rsidR="00ED7F17" w:rsidTr="00ED7F17">
        <w:trPr>
          <w:trHeight w:val="267"/>
        </w:trPr>
        <w:tc>
          <w:tcPr>
            <w:tcW w:w="4830" w:type="dxa"/>
            <w:tcBorders>
              <w:top w:val="nil"/>
              <w:left w:val="single" w:sz="4" w:space="0" w:color="000000"/>
              <w:bottom w:val="single" w:sz="4" w:space="0" w:color="000000"/>
              <w:right w:val="nil"/>
            </w:tcBorders>
            <w:vAlign w:val="center"/>
            <w:hideMark/>
          </w:tcPr>
          <w:p w:rsidR="00ED7F17" w:rsidRDefault="00ED7F17" w:rsidP="0091552F">
            <w:pPr>
              <w:suppressAutoHyphens w:val="0"/>
              <w:rPr>
                <w:rFonts w:ascii="Arial" w:eastAsia="Arial" w:hAnsi="Arial" w:cs="Arial"/>
                <w:sz w:val="22"/>
                <w:szCs w:val="22"/>
              </w:rPr>
            </w:pPr>
            <w:r>
              <w:rPr>
                <w:color w:val="auto"/>
                <w:lang w:eastAsia="ru-RU"/>
              </w:rPr>
              <w:t>ВСЕГО умерло от БСК</w:t>
            </w:r>
          </w:p>
        </w:tc>
        <w:tc>
          <w:tcPr>
            <w:tcW w:w="177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auto"/>
                <w:lang w:eastAsia="ru-RU"/>
              </w:rPr>
              <w:t> </w:t>
            </w:r>
          </w:p>
        </w:tc>
        <w:tc>
          <w:tcPr>
            <w:tcW w:w="138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auto"/>
                <w:lang w:eastAsia="ru-RU"/>
              </w:rPr>
              <w:t>5752</w:t>
            </w:r>
          </w:p>
        </w:tc>
        <w:tc>
          <w:tcPr>
            <w:tcW w:w="1902"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auto"/>
                <w:lang w:eastAsia="ru-RU"/>
              </w:rPr>
              <w:t xml:space="preserve">100,0 </w:t>
            </w:r>
          </w:p>
        </w:tc>
      </w:tr>
      <w:tr w:rsidR="00ED7F17" w:rsidTr="00ED7F17">
        <w:trPr>
          <w:trHeight w:val="225"/>
        </w:trPr>
        <w:tc>
          <w:tcPr>
            <w:tcW w:w="4830" w:type="dxa"/>
            <w:tcBorders>
              <w:top w:val="nil"/>
              <w:left w:val="single" w:sz="4"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auto"/>
                <w:lang w:eastAsia="ru-RU"/>
              </w:rPr>
              <w:t>В том числе Хронические ревматические болезни сердца</w:t>
            </w:r>
          </w:p>
        </w:tc>
        <w:tc>
          <w:tcPr>
            <w:tcW w:w="177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auto"/>
                <w:lang w:eastAsia="ru-RU"/>
              </w:rPr>
              <w:t>I05-08</w:t>
            </w:r>
          </w:p>
        </w:tc>
        <w:tc>
          <w:tcPr>
            <w:tcW w:w="138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auto"/>
                <w:lang w:eastAsia="ru-RU"/>
              </w:rPr>
              <w:t>15</w:t>
            </w:r>
          </w:p>
        </w:tc>
        <w:tc>
          <w:tcPr>
            <w:tcW w:w="1902"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auto"/>
                <w:lang w:eastAsia="ru-RU"/>
              </w:rPr>
              <w:t xml:space="preserve">0,3 </w:t>
            </w:r>
          </w:p>
        </w:tc>
      </w:tr>
      <w:tr w:rsidR="00ED7F17" w:rsidTr="00ED7F17">
        <w:trPr>
          <w:trHeight w:val="216"/>
        </w:trPr>
        <w:tc>
          <w:tcPr>
            <w:tcW w:w="4830" w:type="dxa"/>
            <w:tcBorders>
              <w:top w:val="nil"/>
              <w:left w:val="single" w:sz="4"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auto"/>
                <w:lang w:eastAsia="ru-RU"/>
              </w:rPr>
              <w:t xml:space="preserve">Гипертензивная болезнь сердца </w:t>
            </w:r>
          </w:p>
        </w:tc>
        <w:tc>
          <w:tcPr>
            <w:tcW w:w="177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auto"/>
                <w:lang w:eastAsia="ru-RU"/>
              </w:rPr>
              <w:t>I11.0</w:t>
            </w:r>
          </w:p>
        </w:tc>
        <w:tc>
          <w:tcPr>
            <w:tcW w:w="138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auto"/>
                <w:lang w:eastAsia="ru-RU"/>
              </w:rPr>
              <w:t>1</w:t>
            </w:r>
          </w:p>
        </w:tc>
        <w:tc>
          <w:tcPr>
            <w:tcW w:w="1902"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auto"/>
                <w:lang w:eastAsia="ru-RU"/>
              </w:rPr>
              <w:t xml:space="preserve">0,02 </w:t>
            </w:r>
          </w:p>
        </w:tc>
      </w:tr>
      <w:tr w:rsidR="00ED7F17" w:rsidTr="00ED7F17">
        <w:trPr>
          <w:trHeight w:val="219"/>
        </w:trPr>
        <w:tc>
          <w:tcPr>
            <w:tcW w:w="4830" w:type="dxa"/>
            <w:tcBorders>
              <w:top w:val="nil"/>
              <w:left w:val="single" w:sz="4"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auto"/>
                <w:lang w:eastAsia="ru-RU"/>
              </w:rPr>
              <w:t>Острый и повторный инфаркт миокарда</w:t>
            </w:r>
          </w:p>
        </w:tc>
        <w:tc>
          <w:tcPr>
            <w:tcW w:w="177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auto"/>
                <w:lang w:eastAsia="ru-RU"/>
              </w:rPr>
              <w:t>I21-22</w:t>
            </w:r>
          </w:p>
        </w:tc>
        <w:tc>
          <w:tcPr>
            <w:tcW w:w="138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auto"/>
                <w:lang w:eastAsia="ru-RU"/>
              </w:rPr>
              <w:t>463</w:t>
            </w:r>
          </w:p>
        </w:tc>
        <w:tc>
          <w:tcPr>
            <w:tcW w:w="1902"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auto"/>
                <w:lang w:eastAsia="ru-RU"/>
              </w:rPr>
              <w:t>8,1</w:t>
            </w:r>
          </w:p>
        </w:tc>
      </w:tr>
      <w:tr w:rsidR="00ED7F17" w:rsidTr="00ED7F17">
        <w:trPr>
          <w:trHeight w:val="270"/>
        </w:trPr>
        <w:tc>
          <w:tcPr>
            <w:tcW w:w="4830" w:type="dxa"/>
            <w:tcBorders>
              <w:top w:val="nil"/>
              <w:left w:val="single" w:sz="4"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auto"/>
                <w:lang w:eastAsia="ru-RU"/>
              </w:rPr>
              <w:t>Другие формы острой ИБС</w:t>
            </w:r>
          </w:p>
        </w:tc>
        <w:tc>
          <w:tcPr>
            <w:tcW w:w="177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auto"/>
                <w:lang w:eastAsia="ru-RU"/>
              </w:rPr>
              <w:t>I23-24</w:t>
            </w:r>
          </w:p>
        </w:tc>
        <w:tc>
          <w:tcPr>
            <w:tcW w:w="138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auto"/>
                <w:lang w:eastAsia="ru-RU"/>
              </w:rPr>
              <w:t>15</w:t>
            </w:r>
          </w:p>
        </w:tc>
        <w:tc>
          <w:tcPr>
            <w:tcW w:w="1902"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auto"/>
                <w:lang w:eastAsia="ru-RU"/>
              </w:rPr>
              <w:t xml:space="preserve">0,3 </w:t>
            </w:r>
          </w:p>
        </w:tc>
      </w:tr>
      <w:tr w:rsidR="00ED7F17" w:rsidTr="00ED7F17">
        <w:trPr>
          <w:trHeight w:val="270"/>
        </w:trPr>
        <w:tc>
          <w:tcPr>
            <w:tcW w:w="4830" w:type="dxa"/>
            <w:tcBorders>
              <w:top w:val="nil"/>
              <w:left w:val="single" w:sz="4"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auto"/>
                <w:lang w:eastAsia="ru-RU"/>
              </w:rPr>
              <w:t xml:space="preserve">Хронические формы ИБС </w:t>
            </w:r>
          </w:p>
        </w:tc>
        <w:tc>
          <w:tcPr>
            <w:tcW w:w="177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auto"/>
                <w:lang w:eastAsia="ru-RU"/>
              </w:rPr>
              <w:t>I25</w:t>
            </w:r>
          </w:p>
        </w:tc>
        <w:tc>
          <w:tcPr>
            <w:tcW w:w="138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auto"/>
                <w:lang w:eastAsia="ru-RU"/>
              </w:rPr>
              <w:t>3119</w:t>
            </w:r>
          </w:p>
        </w:tc>
        <w:tc>
          <w:tcPr>
            <w:tcW w:w="1902"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auto"/>
                <w:lang w:eastAsia="ru-RU"/>
              </w:rPr>
              <w:t xml:space="preserve">54,2 </w:t>
            </w:r>
          </w:p>
        </w:tc>
      </w:tr>
      <w:tr w:rsidR="00ED7F17" w:rsidTr="00ED7F17">
        <w:trPr>
          <w:trHeight w:val="287"/>
        </w:trPr>
        <w:tc>
          <w:tcPr>
            <w:tcW w:w="4830" w:type="dxa"/>
            <w:tcBorders>
              <w:top w:val="nil"/>
              <w:left w:val="single" w:sz="4"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auto"/>
                <w:lang w:eastAsia="ru-RU"/>
              </w:rPr>
              <w:t xml:space="preserve">Неревматические поражения клапанов </w:t>
            </w:r>
          </w:p>
        </w:tc>
        <w:tc>
          <w:tcPr>
            <w:tcW w:w="177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auto"/>
                <w:lang w:eastAsia="ru-RU"/>
              </w:rPr>
              <w:t>I34-36</w:t>
            </w:r>
          </w:p>
        </w:tc>
        <w:tc>
          <w:tcPr>
            <w:tcW w:w="138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auto"/>
                <w:lang w:eastAsia="ru-RU"/>
              </w:rPr>
              <w:t>54</w:t>
            </w:r>
          </w:p>
        </w:tc>
        <w:tc>
          <w:tcPr>
            <w:tcW w:w="1902"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auto"/>
                <w:lang w:eastAsia="ru-RU"/>
              </w:rPr>
              <w:t xml:space="preserve">0,9 </w:t>
            </w:r>
          </w:p>
        </w:tc>
      </w:tr>
      <w:tr w:rsidR="00ED7F17" w:rsidTr="00ED7F17">
        <w:trPr>
          <w:trHeight w:val="263"/>
        </w:trPr>
        <w:tc>
          <w:tcPr>
            <w:tcW w:w="4830" w:type="dxa"/>
            <w:tcBorders>
              <w:top w:val="nil"/>
              <w:left w:val="single" w:sz="4"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auto"/>
                <w:lang w:eastAsia="ru-RU"/>
              </w:rPr>
              <w:t xml:space="preserve">Кардиомиопатии </w:t>
            </w:r>
          </w:p>
        </w:tc>
        <w:tc>
          <w:tcPr>
            <w:tcW w:w="177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auto"/>
                <w:lang w:eastAsia="ru-RU"/>
              </w:rPr>
              <w:t>I42</w:t>
            </w:r>
          </w:p>
        </w:tc>
        <w:tc>
          <w:tcPr>
            <w:tcW w:w="138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auto"/>
                <w:lang w:eastAsia="ru-RU"/>
              </w:rPr>
              <w:t>376</w:t>
            </w:r>
          </w:p>
        </w:tc>
        <w:tc>
          <w:tcPr>
            <w:tcW w:w="1902"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auto"/>
                <w:lang w:eastAsia="ru-RU"/>
              </w:rPr>
              <w:t xml:space="preserve">6,5 </w:t>
            </w:r>
          </w:p>
        </w:tc>
      </w:tr>
      <w:tr w:rsidR="00ED7F17" w:rsidTr="00ED7F17">
        <w:trPr>
          <w:trHeight w:val="267"/>
        </w:trPr>
        <w:tc>
          <w:tcPr>
            <w:tcW w:w="4830" w:type="dxa"/>
            <w:tcBorders>
              <w:top w:val="nil"/>
              <w:left w:val="single" w:sz="4"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auto"/>
                <w:lang w:eastAsia="ru-RU"/>
              </w:rPr>
              <w:t xml:space="preserve">Нарушение ритма и проводимости </w:t>
            </w:r>
          </w:p>
        </w:tc>
        <w:tc>
          <w:tcPr>
            <w:tcW w:w="177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auto"/>
                <w:lang w:eastAsia="ru-RU"/>
              </w:rPr>
              <w:t>I45-49</w:t>
            </w:r>
          </w:p>
        </w:tc>
        <w:tc>
          <w:tcPr>
            <w:tcW w:w="138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auto"/>
                <w:lang w:eastAsia="ru-RU"/>
              </w:rPr>
              <w:t>3</w:t>
            </w:r>
          </w:p>
        </w:tc>
        <w:tc>
          <w:tcPr>
            <w:tcW w:w="1902"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auto"/>
                <w:lang w:eastAsia="ru-RU"/>
              </w:rPr>
              <w:t xml:space="preserve">0,1 </w:t>
            </w:r>
          </w:p>
        </w:tc>
      </w:tr>
      <w:tr w:rsidR="00ED7F17" w:rsidTr="00ED7F17">
        <w:trPr>
          <w:trHeight w:val="129"/>
        </w:trPr>
        <w:tc>
          <w:tcPr>
            <w:tcW w:w="4830" w:type="dxa"/>
            <w:tcBorders>
              <w:top w:val="nil"/>
              <w:left w:val="single" w:sz="4"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auto"/>
                <w:lang w:eastAsia="ru-RU"/>
              </w:rPr>
              <w:t xml:space="preserve">Острые нарушения мозгового кровообращения </w:t>
            </w:r>
          </w:p>
        </w:tc>
        <w:tc>
          <w:tcPr>
            <w:tcW w:w="177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auto"/>
                <w:lang w:eastAsia="ru-RU"/>
              </w:rPr>
              <w:t>I60-64</w:t>
            </w:r>
          </w:p>
        </w:tc>
        <w:tc>
          <w:tcPr>
            <w:tcW w:w="138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auto"/>
                <w:lang w:eastAsia="ru-RU"/>
              </w:rPr>
              <w:t>1019</w:t>
            </w:r>
          </w:p>
        </w:tc>
        <w:tc>
          <w:tcPr>
            <w:tcW w:w="1902"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auto"/>
                <w:lang w:eastAsia="ru-RU"/>
              </w:rPr>
              <w:t xml:space="preserve">17,7 </w:t>
            </w:r>
          </w:p>
        </w:tc>
      </w:tr>
      <w:tr w:rsidR="00ED7F17" w:rsidTr="00ED7F17">
        <w:trPr>
          <w:trHeight w:val="263"/>
        </w:trPr>
        <w:tc>
          <w:tcPr>
            <w:tcW w:w="4830" w:type="dxa"/>
            <w:tcBorders>
              <w:top w:val="nil"/>
              <w:left w:val="single" w:sz="4"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auto"/>
                <w:lang w:eastAsia="ru-RU"/>
              </w:rPr>
              <w:t xml:space="preserve">Другие цереброваскулярные болезни </w:t>
            </w:r>
          </w:p>
        </w:tc>
        <w:tc>
          <w:tcPr>
            <w:tcW w:w="177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auto"/>
                <w:lang w:eastAsia="ru-RU"/>
              </w:rPr>
              <w:t>I67-68</w:t>
            </w:r>
          </w:p>
        </w:tc>
        <w:tc>
          <w:tcPr>
            <w:tcW w:w="138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auto"/>
                <w:lang w:eastAsia="ru-RU"/>
              </w:rPr>
              <w:t>511</w:t>
            </w:r>
          </w:p>
        </w:tc>
        <w:tc>
          <w:tcPr>
            <w:tcW w:w="1902"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auto"/>
                <w:lang w:eastAsia="ru-RU"/>
              </w:rPr>
              <w:t xml:space="preserve">8,9 </w:t>
            </w:r>
          </w:p>
        </w:tc>
      </w:tr>
      <w:tr w:rsidR="00ED7F17" w:rsidTr="00ED7F17">
        <w:trPr>
          <w:trHeight w:val="253"/>
        </w:trPr>
        <w:tc>
          <w:tcPr>
            <w:tcW w:w="4830" w:type="dxa"/>
            <w:tcBorders>
              <w:top w:val="nil"/>
              <w:left w:val="single" w:sz="4"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auto"/>
                <w:lang w:eastAsia="ru-RU"/>
              </w:rPr>
              <w:t xml:space="preserve">Болезни артерий, артериол и капилляров </w:t>
            </w:r>
          </w:p>
        </w:tc>
        <w:tc>
          <w:tcPr>
            <w:tcW w:w="177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auto"/>
                <w:lang w:eastAsia="ru-RU"/>
              </w:rPr>
              <w:t>I70-77</w:t>
            </w:r>
          </w:p>
        </w:tc>
        <w:tc>
          <w:tcPr>
            <w:tcW w:w="138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auto"/>
                <w:lang w:eastAsia="ru-RU"/>
              </w:rPr>
              <w:t>163</w:t>
            </w:r>
          </w:p>
        </w:tc>
        <w:tc>
          <w:tcPr>
            <w:tcW w:w="1902"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auto"/>
                <w:lang w:eastAsia="ru-RU"/>
              </w:rPr>
              <w:t xml:space="preserve">2,8 </w:t>
            </w:r>
          </w:p>
        </w:tc>
      </w:tr>
      <w:tr w:rsidR="00ED7F17" w:rsidTr="00ED7F17">
        <w:trPr>
          <w:trHeight w:val="70"/>
        </w:trPr>
        <w:tc>
          <w:tcPr>
            <w:tcW w:w="4830" w:type="dxa"/>
            <w:tcBorders>
              <w:top w:val="nil"/>
              <w:left w:val="single" w:sz="4"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auto"/>
                <w:lang w:eastAsia="ru-RU"/>
              </w:rPr>
              <w:t>Болезни вен</w:t>
            </w:r>
          </w:p>
        </w:tc>
        <w:tc>
          <w:tcPr>
            <w:tcW w:w="177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auto"/>
                <w:lang w:eastAsia="ru-RU"/>
              </w:rPr>
              <w:t>I80-83</w:t>
            </w:r>
          </w:p>
        </w:tc>
        <w:tc>
          <w:tcPr>
            <w:tcW w:w="138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auto"/>
                <w:lang w:eastAsia="ru-RU"/>
              </w:rPr>
              <w:t>13</w:t>
            </w:r>
          </w:p>
        </w:tc>
        <w:tc>
          <w:tcPr>
            <w:tcW w:w="1902"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auto"/>
                <w:lang w:eastAsia="ru-RU"/>
              </w:rPr>
              <w:t xml:space="preserve">0,2 </w:t>
            </w:r>
          </w:p>
        </w:tc>
      </w:tr>
    </w:tbl>
    <w:p w:rsidR="00ED7F17" w:rsidRDefault="00ED7F17" w:rsidP="00ED7F17">
      <w:pPr>
        <w:ind w:firstLine="709"/>
        <w:jc w:val="both"/>
      </w:pPr>
    </w:p>
    <w:p w:rsidR="00ED7F17" w:rsidRDefault="00ED7F17" w:rsidP="00ED7F17">
      <w:pPr>
        <w:suppressAutoHyphens w:val="0"/>
        <w:autoSpaceDE w:val="0"/>
        <w:ind w:firstLine="709"/>
        <w:jc w:val="both"/>
        <w:rPr>
          <w:rFonts w:ascii="Arial" w:eastAsia="Arial" w:hAnsi="Arial" w:cs="Arial"/>
          <w:sz w:val="22"/>
          <w:szCs w:val="22"/>
        </w:rPr>
      </w:pPr>
      <w:r>
        <w:rPr>
          <w:color w:val="auto"/>
          <w:lang w:eastAsia="ru-RU"/>
        </w:rPr>
        <w:t xml:space="preserve">От гипертонической болезни в 2018 году умерло 12 человек (1,2 на 100 тысяч населения), в 2017 году - 16 человек (1,57 на 100 тыс.), в 2014 году – 40 (3,93 на 100 тыс.), за 5 лет произошло снижение показателя смертности от гипертонической болезни на 70,0%. </w:t>
      </w:r>
    </w:p>
    <w:p w:rsidR="00ED7F17" w:rsidRDefault="00ED7F17" w:rsidP="00ED7F17">
      <w:pPr>
        <w:suppressAutoHyphens w:val="0"/>
        <w:autoSpaceDE w:val="0"/>
        <w:ind w:firstLine="709"/>
        <w:jc w:val="both"/>
      </w:pPr>
      <w:r>
        <w:rPr>
          <w:color w:val="auto"/>
          <w:lang w:eastAsia="ru-RU"/>
        </w:rPr>
        <w:t xml:space="preserve">В 2018 году случаи смерти о гипертонической болезни были зарегистрированы в Харабалинском районе (2,5 на 100 тыс. населения или 1 человек), ЗАТО Знаменск (3,2 на 100 тыс. населения или 1 человек) и в г. Астрахани (1,9 на 100 тыс. населения или 10 человек). Следует отметить, что Володарском, Енотаевском, Лиманском, Наримановском районах за прошедшие 5 лет не зарегистрировано ни одного случая смерти от данного вида патологии. Наиболее часто случаи смерти от гипертонической болезни регистрировались в Ахтубинском, Икряниском районах и г. Астрахани. </w:t>
      </w:r>
    </w:p>
    <w:p w:rsidR="00ED7F17" w:rsidRDefault="00ED7F17" w:rsidP="00ED7F17">
      <w:pPr>
        <w:suppressAutoHyphens w:val="0"/>
        <w:autoSpaceDE w:val="0"/>
        <w:ind w:firstLine="709"/>
        <w:jc w:val="both"/>
        <w:rPr>
          <w:color w:val="auto"/>
          <w:lang w:eastAsia="ru-RU"/>
        </w:rPr>
      </w:pPr>
    </w:p>
    <w:tbl>
      <w:tblPr>
        <w:tblW w:w="0" w:type="auto"/>
        <w:tblInd w:w="-15" w:type="dxa"/>
        <w:tblLayout w:type="fixed"/>
        <w:tblLook w:val="04A0" w:firstRow="1" w:lastRow="0" w:firstColumn="1" w:lastColumn="0" w:noHBand="0" w:noVBand="1"/>
      </w:tblPr>
      <w:tblGrid>
        <w:gridCol w:w="2884"/>
        <w:gridCol w:w="808"/>
        <w:gridCol w:w="895"/>
        <w:gridCol w:w="595"/>
        <w:gridCol w:w="893"/>
        <w:gridCol w:w="747"/>
        <w:gridCol w:w="788"/>
        <w:gridCol w:w="522"/>
        <w:gridCol w:w="599"/>
        <w:gridCol w:w="522"/>
        <w:gridCol w:w="631"/>
      </w:tblGrid>
      <w:tr w:rsidR="00ED7F17" w:rsidTr="00ED7F17">
        <w:trPr>
          <w:trHeight w:val="315"/>
        </w:trPr>
        <w:tc>
          <w:tcPr>
            <w:tcW w:w="2884" w:type="dxa"/>
            <w:vMerge w:val="restart"/>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Территория</w:t>
            </w:r>
          </w:p>
        </w:tc>
        <w:tc>
          <w:tcPr>
            <w:tcW w:w="7000" w:type="dxa"/>
            <w:gridSpan w:val="10"/>
            <w:tcBorders>
              <w:top w:val="single" w:sz="4" w:space="0" w:color="000000"/>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Гипертоническая болезнь (I10-I13)</w:t>
            </w:r>
          </w:p>
        </w:tc>
      </w:tr>
      <w:tr w:rsidR="00ED7F17" w:rsidTr="00ED7F17">
        <w:trPr>
          <w:trHeight w:val="315"/>
        </w:trPr>
        <w:tc>
          <w:tcPr>
            <w:tcW w:w="2884" w:type="dxa"/>
            <w:vMerge/>
            <w:tcBorders>
              <w:top w:val="single" w:sz="4" w:space="0" w:color="000000"/>
              <w:left w:val="single" w:sz="4"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1703" w:type="dxa"/>
            <w:gridSpan w:val="2"/>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2014</w:t>
            </w:r>
          </w:p>
        </w:tc>
        <w:tc>
          <w:tcPr>
            <w:tcW w:w="1488" w:type="dxa"/>
            <w:gridSpan w:val="2"/>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2015</w:t>
            </w:r>
          </w:p>
        </w:tc>
        <w:tc>
          <w:tcPr>
            <w:tcW w:w="1535" w:type="dxa"/>
            <w:gridSpan w:val="2"/>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2016</w:t>
            </w:r>
          </w:p>
        </w:tc>
        <w:tc>
          <w:tcPr>
            <w:tcW w:w="1121" w:type="dxa"/>
            <w:gridSpan w:val="2"/>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2017</w:t>
            </w:r>
          </w:p>
        </w:tc>
        <w:tc>
          <w:tcPr>
            <w:tcW w:w="1153" w:type="dxa"/>
            <w:gridSpan w:val="2"/>
            <w:tcBorders>
              <w:top w:val="single" w:sz="4" w:space="0" w:color="000000"/>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2018</w:t>
            </w:r>
          </w:p>
        </w:tc>
      </w:tr>
      <w:tr w:rsidR="00ED7F17" w:rsidTr="00ED7F17">
        <w:trPr>
          <w:trHeight w:val="480"/>
        </w:trPr>
        <w:tc>
          <w:tcPr>
            <w:tcW w:w="2884" w:type="dxa"/>
            <w:vMerge/>
            <w:tcBorders>
              <w:top w:val="single" w:sz="4" w:space="0" w:color="000000"/>
              <w:left w:val="single" w:sz="4"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80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89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c>
          <w:tcPr>
            <w:tcW w:w="59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893"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c>
          <w:tcPr>
            <w:tcW w:w="74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c>
          <w:tcPr>
            <w:tcW w:w="52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59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c>
          <w:tcPr>
            <w:tcW w:w="52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631" w:type="dxa"/>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r>
      <w:tr w:rsidR="00ED7F17" w:rsidTr="00ED7F17">
        <w:trPr>
          <w:trHeight w:val="315"/>
        </w:trPr>
        <w:tc>
          <w:tcPr>
            <w:tcW w:w="2884"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Ахтубинский район</w:t>
            </w:r>
          </w:p>
        </w:tc>
        <w:tc>
          <w:tcPr>
            <w:tcW w:w="80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w:t>
            </w:r>
          </w:p>
        </w:tc>
        <w:tc>
          <w:tcPr>
            <w:tcW w:w="89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4,0</w:t>
            </w:r>
          </w:p>
        </w:tc>
        <w:tc>
          <w:tcPr>
            <w:tcW w:w="59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w:t>
            </w:r>
          </w:p>
        </w:tc>
        <w:tc>
          <w:tcPr>
            <w:tcW w:w="89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w:t>
            </w:r>
          </w:p>
        </w:tc>
        <w:tc>
          <w:tcPr>
            <w:tcW w:w="78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6,1</w:t>
            </w:r>
          </w:p>
        </w:tc>
        <w:tc>
          <w:tcPr>
            <w:tcW w:w="52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59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52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631"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884"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Володарский район</w:t>
            </w:r>
          </w:p>
        </w:tc>
        <w:tc>
          <w:tcPr>
            <w:tcW w:w="80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89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59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89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8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52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59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52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631"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884"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Енотаевский район</w:t>
            </w:r>
          </w:p>
        </w:tc>
        <w:tc>
          <w:tcPr>
            <w:tcW w:w="80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89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59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89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8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52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59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52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631"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884"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Икрянинский район</w:t>
            </w:r>
          </w:p>
        </w:tc>
        <w:tc>
          <w:tcPr>
            <w:tcW w:w="80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w:t>
            </w:r>
          </w:p>
        </w:tc>
        <w:tc>
          <w:tcPr>
            <w:tcW w:w="89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2,1</w:t>
            </w:r>
          </w:p>
        </w:tc>
        <w:tc>
          <w:tcPr>
            <w:tcW w:w="59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w:t>
            </w:r>
          </w:p>
        </w:tc>
        <w:tc>
          <w:tcPr>
            <w:tcW w:w="89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2,1</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8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52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w:t>
            </w:r>
          </w:p>
        </w:tc>
        <w:tc>
          <w:tcPr>
            <w:tcW w:w="59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4,2</w:t>
            </w:r>
          </w:p>
        </w:tc>
        <w:tc>
          <w:tcPr>
            <w:tcW w:w="52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631"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884"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Камызякский район</w:t>
            </w:r>
          </w:p>
        </w:tc>
        <w:tc>
          <w:tcPr>
            <w:tcW w:w="80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w:t>
            </w:r>
          </w:p>
        </w:tc>
        <w:tc>
          <w:tcPr>
            <w:tcW w:w="89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6,2</w:t>
            </w:r>
          </w:p>
        </w:tc>
        <w:tc>
          <w:tcPr>
            <w:tcW w:w="59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w:t>
            </w:r>
          </w:p>
        </w:tc>
        <w:tc>
          <w:tcPr>
            <w:tcW w:w="89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4,1</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8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52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59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52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631"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884"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Красноярский район</w:t>
            </w:r>
          </w:p>
        </w:tc>
        <w:tc>
          <w:tcPr>
            <w:tcW w:w="80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w:t>
            </w:r>
          </w:p>
        </w:tc>
        <w:tc>
          <w:tcPr>
            <w:tcW w:w="89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2,7</w:t>
            </w:r>
          </w:p>
        </w:tc>
        <w:tc>
          <w:tcPr>
            <w:tcW w:w="59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89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w:t>
            </w:r>
          </w:p>
        </w:tc>
        <w:tc>
          <w:tcPr>
            <w:tcW w:w="78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2,7</w:t>
            </w:r>
          </w:p>
        </w:tc>
        <w:tc>
          <w:tcPr>
            <w:tcW w:w="52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59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52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631"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884"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Лиманский район</w:t>
            </w:r>
          </w:p>
        </w:tc>
        <w:tc>
          <w:tcPr>
            <w:tcW w:w="80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89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59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89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8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52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59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52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631"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884"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Наримановский район</w:t>
            </w:r>
          </w:p>
        </w:tc>
        <w:tc>
          <w:tcPr>
            <w:tcW w:w="80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89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59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89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8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52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59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52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631"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884"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Приволжский район</w:t>
            </w:r>
          </w:p>
        </w:tc>
        <w:tc>
          <w:tcPr>
            <w:tcW w:w="80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89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59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89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8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52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w:t>
            </w:r>
          </w:p>
        </w:tc>
        <w:tc>
          <w:tcPr>
            <w:tcW w:w="59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4,0</w:t>
            </w:r>
          </w:p>
        </w:tc>
        <w:tc>
          <w:tcPr>
            <w:tcW w:w="52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631"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884"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Харабалинский район</w:t>
            </w:r>
          </w:p>
        </w:tc>
        <w:tc>
          <w:tcPr>
            <w:tcW w:w="80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89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59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89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w:t>
            </w:r>
          </w:p>
        </w:tc>
        <w:tc>
          <w:tcPr>
            <w:tcW w:w="78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2,4</w:t>
            </w:r>
          </w:p>
        </w:tc>
        <w:tc>
          <w:tcPr>
            <w:tcW w:w="52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59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52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w:t>
            </w:r>
          </w:p>
        </w:tc>
        <w:tc>
          <w:tcPr>
            <w:tcW w:w="631"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2,5</w:t>
            </w:r>
          </w:p>
        </w:tc>
      </w:tr>
      <w:tr w:rsidR="00ED7F17" w:rsidTr="00ED7F17">
        <w:trPr>
          <w:trHeight w:val="315"/>
        </w:trPr>
        <w:tc>
          <w:tcPr>
            <w:tcW w:w="2884"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Черноярский район</w:t>
            </w:r>
          </w:p>
        </w:tc>
        <w:tc>
          <w:tcPr>
            <w:tcW w:w="80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w:t>
            </w:r>
          </w:p>
        </w:tc>
        <w:tc>
          <w:tcPr>
            <w:tcW w:w="89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10,2</w:t>
            </w:r>
          </w:p>
        </w:tc>
        <w:tc>
          <w:tcPr>
            <w:tcW w:w="59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89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8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52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59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52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631"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884"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г.Знаменск</w:t>
            </w:r>
          </w:p>
        </w:tc>
        <w:tc>
          <w:tcPr>
            <w:tcW w:w="80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89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59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89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w:t>
            </w:r>
          </w:p>
        </w:tc>
        <w:tc>
          <w:tcPr>
            <w:tcW w:w="78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6,2</w:t>
            </w:r>
          </w:p>
        </w:tc>
        <w:tc>
          <w:tcPr>
            <w:tcW w:w="52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59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52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w:t>
            </w:r>
          </w:p>
        </w:tc>
        <w:tc>
          <w:tcPr>
            <w:tcW w:w="631"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3,2</w:t>
            </w:r>
          </w:p>
        </w:tc>
      </w:tr>
      <w:tr w:rsidR="00ED7F17" w:rsidTr="00ED7F17">
        <w:trPr>
          <w:trHeight w:val="315"/>
        </w:trPr>
        <w:tc>
          <w:tcPr>
            <w:tcW w:w="2884"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bCs/>
                <w:color w:val="000000"/>
                <w:lang w:eastAsia="ru-RU"/>
              </w:rPr>
              <w:t>г. Астрахань</w:t>
            </w:r>
          </w:p>
        </w:tc>
        <w:tc>
          <w:tcPr>
            <w:tcW w:w="808" w:type="dxa"/>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5</w:t>
            </w:r>
          </w:p>
        </w:tc>
        <w:tc>
          <w:tcPr>
            <w:tcW w:w="89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0,9</w:t>
            </w:r>
          </w:p>
        </w:tc>
        <w:tc>
          <w:tcPr>
            <w:tcW w:w="59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0</w:t>
            </w:r>
          </w:p>
        </w:tc>
        <w:tc>
          <w:tcPr>
            <w:tcW w:w="893"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0,0</w:t>
            </w:r>
          </w:p>
        </w:tc>
        <w:tc>
          <w:tcPr>
            <w:tcW w:w="747"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15</w:t>
            </w:r>
          </w:p>
        </w:tc>
        <w:tc>
          <w:tcPr>
            <w:tcW w:w="788"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2,8</w:t>
            </w:r>
          </w:p>
        </w:tc>
        <w:tc>
          <w:tcPr>
            <w:tcW w:w="522"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12</w:t>
            </w:r>
          </w:p>
        </w:tc>
        <w:tc>
          <w:tcPr>
            <w:tcW w:w="599"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2,3</w:t>
            </w:r>
          </w:p>
        </w:tc>
        <w:tc>
          <w:tcPr>
            <w:tcW w:w="522"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10</w:t>
            </w:r>
          </w:p>
        </w:tc>
        <w:tc>
          <w:tcPr>
            <w:tcW w:w="631" w:type="dxa"/>
            <w:tcBorders>
              <w:top w:val="single" w:sz="4" w:space="0" w:color="000000"/>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1,9</w:t>
            </w:r>
          </w:p>
        </w:tc>
      </w:tr>
      <w:tr w:rsidR="00ED7F17" w:rsidTr="00ED7F17">
        <w:trPr>
          <w:trHeight w:val="315"/>
        </w:trPr>
        <w:tc>
          <w:tcPr>
            <w:tcW w:w="2884"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b/>
                <w:bCs/>
                <w:color w:val="000000"/>
                <w:lang w:eastAsia="ru-RU"/>
              </w:rPr>
              <w:t>Свод по АО</w:t>
            </w:r>
          </w:p>
        </w:tc>
        <w:tc>
          <w:tcPr>
            <w:tcW w:w="80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14</w:t>
            </w:r>
          </w:p>
        </w:tc>
        <w:tc>
          <w:tcPr>
            <w:tcW w:w="89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3,9</w:t>
            </w:r>
          </w:p>
        </w:tc>
        <w:tc>
          <w:tcPr>
            <w:tcW w:w="59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4</w:t>
            </w:r>
          </w:p>
        </w:tc>
        <w:tc>
          <w:tcPr>
            <w:tcW w:w="89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1,4</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22</w:t>
            </w:r>
          </w:p>
        </w:tc>
        <w:tc>
          <w:tcPr>
            <w:tcW w:w="78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2,2</w:t>
            </w:r>
          </w:p>
        </w:tc>
        <w:tc>
          <w:tcPr>
            <w:tcW w:w="52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16</w:t>
            </w:r>
          </w:p>
        </w:tc>
        <w:tc>
          <w:tcPr>
            <w:tcW w:w="59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1,6</w:t>
            </w:r>
          </w:p>
        </w:tc>
        <w:tc>
          <w:tcPr>
            <w:tcW w:w="52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12</w:t>
            </w:r>
          </w:p>
        </w:tc>
        <w:tc>
          <w:tcPr>
            <w:tcW w:w="631"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1,2</w:t>
            </w:r>
          </w:p>
        </w:tc>
      </w:tr>
    </w:tbl>
    <w:p w:rsidR="00ED7F17" w:rsidRDefault="00ED7F17" w:rsidP="00ED7F17">
      <w:pPr>
        <w:suppressAutoHyphens w:val="0"/>
        <w:autoSpaceDE w:val="0"/>
        <w:ind w:firstLine="709"/>
        <w:jc w:val="both"/>
        <w:rPr>
          <w:rFonts w:eastAsia="Arial"/>
          <w:color w:val="auto"/>
          <w:lang w:eastAsia="ru-RU"/>
        </w:rPr>
      </w:pPr>
    </w:p>
    <w:p w:rsidR="00ED7F17" w:rsidRDefault="00ED7F17" w:rsidP="0091552F">
      <w:pPr>
        <w:suppressAutoHyphens w:val="0"/>
        <w:autoSpaceDE w:val="0"/>
        <w:ind w:right="-285" w:firstLine="709"/>
        <w:jc w:val="both"/>
        <w:rPr>
          <w:rFonts w:ascii="Arial" w:hAnsi="Arial" w:cs="Arial"/>
          <w:sz w:val="22"/>
          <w:szCs w:val="22"/>
        </w:rPr>
      </w:pPr>
      <w:r>
        <w:rPr>
          <w:color w:val="auto"/>
          <w:lang w:eastAsia="ru-RU"/>
        </w:rPr>
        <w:t>Показатель смертности от ИБС в 2018 году составил 355,2 на 100 тысяч (3615 человека), что выше показателя 2017 года на 3,9% (342,0 на 100 тыс. или 3482 человека), но ниже показателя 2014 года на 7,9% (385,7 на 100 тысяч или 3928 человек).</w:t>
      </w:r>
    </w:p>
    <w:p w:rsidR="00ED7F17" w:rsidRDefault="00ED7F17" w:rsidP="0091552F">
      <w:pPr>
        <w:suppressAutoHyphens w:val="0"/>
        <w:autoSpaceDE w:val="0"/>
        <w:ind w:right="-285" w:firstLine="709"/>
        <w:jc w:val="both"/>
      </w:pPr>
      <w:r>
        <w:rPr>
          <w:color w:val="auto"/>
          <w:lang w:eastAsia="ru-RU"/>
        </w:rPr>
        <w:t>Среди районов Астраханской области самый высокий показатель отмечается в Камызякском районе - 486,9 на 100 тыс. населения, что на 27% превышает среднеобластной показатель. Самый низкий показатель зарегистрирован в Приволжском районе – 256,6 на 100 тыс. населения. В районах области и г. Астрахань отмечается снижение показателя смертности от ИБС в течение 2014 – 2018 годов, за исключением Володарского, Енотавского, Харабалинского районов, где отмечается рост показателя в сравнении с 2014 годом. Однако, несмотря на рост показателя в этих районах, его значения не превышают или превышают незначительно значения показателя в целом по области. Максимальное снижение показателя отмечается в Лиманском районе – на 57,6% (с 616,5 до 261,2 на 100 тыс. населения).</w:t>
      </w:r>
    </w:p>
    <w:p w:rsidR="00ED7F17" w:rsidRDefault="00ED7F17" w:rsidP="00ED7F17">
      <w:pPr>
        <w:suppressAutoHyphens w:val="0"/>
        <w:autoSpaceDE w:val="0"/>
        <w:ind w:firstLine="709"/>
        <w:jc w:val="both"/>
        <w:rPr>
          <w:color w:val="auto"/>
          <w:lang w:eastAsia="ru-RU"/>
        </w:rPr>
      </w:pPr>
    </w:p>
    <w:tbl>
      <w:tblPr>
        <w:tblW w:w="0" w:type="auto"/>
        <w:tblInd w:w="-15" w:type="dxa"/>
        <w:tblLayout w:type="fixed"/>
        <w:tblLook w:val="04A0" w:firstRow="1" w:lastRow="0" w:firstColumn="1" w:lastColumn="0" w:noHBand="0" w:noVBand="1"/>
      </w:tblPr>
      <w:tblGrid>
        <w:gridCol w:w="2641"/>
        <w:gridCol w:w="788"/>
        <w:gridCol w:w="749"/>
        <w:gridCol w:w="749"/>
        <w:gridCol w:w="871"/>
        <w:gridCol w:w="648"/>
        <w:gridCol w:w="702"/>
        <w:gridCol w:w="648"/>
        <w:gridCol w:w="702"/>
        <w:gridCol w:w="648"/>
        <w:gridCol w:w="738"/>
      </w:tblGrid>
      <w:tr w:rsidR="00ED7F17" w:rsidTr="00ED7F17">
        <w:trPr>
          <w:trHeight w:val="315"/>
        </w:trPr>
        <w:tc>
          <w:tcPr>
            <w:tcW w:w="2641" w:type="dxa"/>
            <w:vMerge w:val="restart"/>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Территория</w:t>
            </w:r>
          </w:p>
        </w:tc>
        <w:tc>
          <w:tcPr>
            <w:tcW w:w="7243" w:type="dxa"/>
            <w:gridSpan w:val="10"/>
            <w:tcBorders>
              <w:top w:val="single" w:sz="4" w:space="0" w:color="000000"/>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Ишемическая болезнь сердца (I20-I25)</w:t>
            </w:r>
          </w:p>
        </w:tc>
      </w:tr>
      <w:tr w:rsidR="00ED7F17" w:rsidTr="00ED7F17">
        <w:trPr>
          <w:trHeight w:val="315"/>
        </w:trPr>
        <w:tc>
          <w:tcPr>
            <w:tcW w:w="2641" w:type="dxa"/>
            <w:vMerge/>
            <w:tcBorders>
              <w:top w:val="single" w:sz="4" w:space="0" w:color="000000"/>
              <w:left w:val="single" w:sz="4"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1537" w:type="dxa"/>
            <w:gridSpan w:val="2"/>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2014</w:t>
            </w:r>
          </w:p>
        </w:tc>
        <w:tc>
          <w:tcPr>
            <w:tcW w:w="1620" w:type="dxa"/>
            <w:gridSpan w:val="2"/>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2015</w:t>
            </w:r>
          </w:p>
        </w:tc>
        <w:tc>
          <w:tcPr>
            <w:tcW w:w="1350" w:type="dxa"/>
            <w:gridSpan w:val="2"/>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2016</w:t>
            </w:r>
          </w:p>
        </w:tc>
        <w:tc>
          <w:tcPr>
            <w:tcW w:w="1350" w:type="dxa"/>
            <w:gridSpan w:val="2"/>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2017</w:t>
            </w:r>
          </w:p>
        </w:tc>
        <w:tc>
          <w:tcPr>
            <w:tcW w:w="1386" w:type="dxa"/>
            <w:gridSpan w:val="2"/>
            <w:tcBorders>
              <w:top w:val="single" w:sz="4" w:space="0" w:color="000000"/>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2018</w:t>
            </w:r>
          </w:p>
        </w:tc>
      </w:tr>
      <w:tr w:rsidR="00ED7F17" w:rsidTr="00ED7F17">
        <w:trPr>
          <w:trHeight w:val="480"/>
        </w:trPr>
        <w:tc>
          <w:tcPr>
            <w:tcW w:w="2641" w:type="dxa"/>
            <w:vMerge/>
            <w:tcBorders>
              <w:top w:val="single" w:sz="4" w:space="0" w:color="000000"/>
              <w:left w:val="single" w:sz="4"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87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c>
          <w:tcPr>
            <w:tcW w:w="64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c>
          <w:tcPr>
            <w:tcW w:w="64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c>
          <w:tcPr>
            <w:tcW w:w="64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738" w:type="dxa"/>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Ахтубинский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213</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426,3</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162</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324,2</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136</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276,1</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165</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340,3</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161</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332,2</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Володарский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145</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301,6</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128</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266,2</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126</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264,7</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128</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269,5</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144</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305,9</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Енотаевский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72</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276,8</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63</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242,2</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109</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421,6</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81</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314,1</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85</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334,6</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Икрянинский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181</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376,4</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242</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503,3</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244</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511,8</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208</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436,7</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152</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321,3</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Камызякский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242</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501,5</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187</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387,5</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176</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367,9</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189</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397,4</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229</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486,9</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Красноярский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109</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296,3</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111</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301,7</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82</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221,9</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97</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260,0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95</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256,4</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Лиманский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193</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616,5</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132</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421,6</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136</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436,3</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106</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345,1</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79</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261,2</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Наримановский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164</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343,5</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147</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307,9</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135</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283,2</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116</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241,9</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133</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276,2</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Приволжский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135</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278,4</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156</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321,7</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152</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307,5</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134</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266,4</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131</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256,6</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Харабалинский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119</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291,1</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171</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418,3</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129</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315,8</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152</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372,9</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145</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357,9</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Черноярский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87</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442,7</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80</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407,1</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62</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318,8</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72</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372,1</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76</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397,5</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г.Знаменск</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132</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407,2</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116</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357,8</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99</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306,5</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113</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354,2</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122</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385,5</w:t>
            </w:r>
          </w:p>
        </w:tc>
      </w:tr>
      <w:tr w:rsidR="00ED7F17" w:rsidTr="00ED7F17">
        <w:trPr>
          <w:trHeight w:val="315"/>
        </w:trPr>
        <w:tc>
          <w:tcPr>
            <w:tcW w:w="2641"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bCs/>
                <w:color w:val="000000"/>
                <w:lang w:eastAsia="ru-RU"/>
              </w:rPr>
              <w:t>г. Астрахань</w:t>
            </w:r>
          </w:p>
        </w:tc>
        <w:tc>
          <w:tcPr>
            <w:tcW w:w="788" w:type="dxa"/>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2136</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401,0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2025</w:t>
            </w:r>
          </w:p>
        </w:tc>
        <w:tc>
          <w:tcPr>
            <w:tcW w:w="871"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380,1</w:t>
            </w:r>
          </w:p>
        </w:tc>
        <w:tc>
          <w:tcPr>
            <w:tcW w:w="648"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1917</w:t>
            </w:r>
          </w:p>
        </w:tc>
        <w:tc>
          <w:tcPr>
            <w:tcW w:w="702"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360,5</w:t>
            </w:r>
          </w:p>
        </w:tc>
        <w:tc>
          <w:tcPr>
            <w:tcW w:w="648"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1920</w:t>
            </w:r>
          </w:p>
        </w:tc>
        <w:tc>
          <w:tcPr>
            <w:tcW w:w="702"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360,6</w:t>
            </w:r>
          </w:p>
        </w:tc>
        <w:tc>
          <w:tcPr>
            <w:tcW w:w="648"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2063</w:t>
            </w:r>
          </w:p>
        </w:tc>
        <w:tc>
          <w:tcPr>
            <w:tcW w:w="738" w:type="dxa"/>
            <w:tcBorders>
              <w:top w:val="single" w:sz="4" w:space="0" w:color="000000"/>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386,4</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b/>
                <w:bCs/>
                <w:color w:val="000000"/>
                <w:lang w:eastAsia="ru-RU"/>
              </w:rPr>
              <w:t>Свод по АО</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3928</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385,7</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3720</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363,7</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3503</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345,8</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3481</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342,0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3615</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355,3</w:t>
            </w:r>
          </w:p>
        </w:tc>
      </w:tr>
    </w:tbl>
    <w:p w:rsidR="00ED7F17" w:rsidRDefault="00ED7F17" w:rsidP="00ED7F17">
      <w:pPr>
        <w:suppressAutoHyphens w:val="0"/>
        <w:autoSpaceDE w:val="0"/>
        <w:ind w:firstLine="709"/>
        <w:jc w:val="both"/>
        <w:rPr>
          <w:rFonts w:eastAsia="Arial"/>
          <w:color w:val="auto"/>
          <w:lang w:eastAsia="ru-RU"/>
        </w:rPr>
      </w:pPr>
    </w:p>
    <w:p w:rsidR="00ED7F17" w:rsidRDefault="00ED7F17" w:rsidP="00ED7F17">
      <w:pPr>
        <w:suppressAutoHyphens w:val="0"/>
        <w:ind w:firstLine="709"/>
        <w:jc w:val="both"/>
        <w:rPr>
          <w:rFonts w:ascii="Arial" w:hAnsi="Arial" w:cs="Arial"/>
          <w:sz w:val="22"/>
          <w:szCs w:val="22"/>
        </w:rPr>
      </w:pPr>
      <w:r>
        <w:rPr>
          <w:color w:val="000000"/>
          <w:lang w:val="x-none"/>
        </w:rPr>
        <w:t>Показатель смертности от острого и повторного инфаркта миокарда в 2018 году состави</w:t>
      </w:r>
      <w:r>
        <w:rPr>
          <w:color w:val="000000"/>
        </w:rPr>
        <w:t>л</w:t>
      </w:r>
      <w:r>
        <w:rPr>
          <w:color w:val="000000"/>
          <w:lang w:val="x-none"/>
        </w:rPr>
        <w:t xml:space="preserve"> 44,2 на 100 тысяч (</w:t>
      </w:r>
      <w:r>
        <w:rPr>
          <w:color w:val="000000"/>
        </w:rPr>
        <w:t>450</w:t>
      </w:r>
      <w:r>
        <w:rPr>
          <w:color w:val="000000"/>
          <w:lang w:val="x-none"/>
        </w:rPr>
        <w:t xml:space="preserve"> человек</w:t>
      </w:r>
      <w:r>
        <w:rPr>
          <w:color w:val="000000"/>
        </w:rPr>
        <w:t>а) и</w:t>
      </w:r>
      <w:r>
        <w:rPr>
          <w:color w:val="000000"/>
          <w:lang w:val="x-none"/>
        </w:rPr>
        <w:t xml:space="preserve"> снизился по отношению к 2017 году на 17,2% (</w:t>
      </w:r>
      <w:r>
        <w:rPr>
          <w:color w:val="000000"/>
        </w:rPr>
        <w:t>53,4</w:t>
      </w:r>
      <w:r>
        <w:rPr>
          <w:color w:val="000000"/>
          <w:lang w:val="x-none"/>
        </w:rPr>
        <w:t xml:space="preserve"> на 100 тысяч или 540 человек) и по отношению к 2014 году - на 38,2% (</w:t>
      </w:r>
      <w:r>
        <w:rPr>
          <w:color w:val="000000"/>
        </w:rPr>
        <w:t>71,5</w:t>
      </w:r>
      <w:r>
        <w:rPr>
          <w:color w:val="000000"/>
          <w:lang w:val="x-none"/>
        </w:rPr>
        <w:t xml:space="preserve"> на 100 тысяч или </w:t>
      </w:r>
      <w:r>
        <w:rPr>
          <w:color w:val="000000"/>
        </w:rPr>
        <w:t>725</w:t>
      </w:r>
      <w:r>
        <w:rPr>
          <w:color w:val="000000"/>
          <w:lang w:val="x-none"/>
        </w:rPr>
        <w:t xml:space="preserve"> человек</w:t>
      </w:r>
      <w:r>
        <w:rPr>
          <w:color w:val="000000"/>
        </w:rPr>
        <w:t>)</w:t>
      </w:r>
      <w:r>
        <w:rPr>
          <w:color w:val="000000"/>
          <w:lang w:val="x-none"/>
        </w:rPr>
        <w:t xml:space="preserve">. </w:t>
      </w:r>
    </w:p>
    <w:p w:rsidR="00ED7F17" w:rsidRDefault="00ED7F17" w:rsidP="00ED7F17">
      <w:pPr>
        <w:suppressAutoHyphens w:val="0"/>
        <w:ind w:firstLine="709"/>
        <w:jc w:val="both"/>
      </w:pPr>
      <w:r>
        <w:rPr>
          <w:color w:val="000000"/>
        </w:rPr>
        <w:t>Самый высокий показатель смертности от инфаркта миокарда зарегистрирован в Ахтубинском районе – 80,5 на 100 тыс. населения, самый низкий – в Черноярском районе – 10,5 на 100 тыс. населения. В районах области, за исключением Володарского и Енотаевского района наблюдается снижение показателя в сравнении с 2014 годом. Наибольшее снижение показателя отмечается в Черноярском районе – на 74,3% (с 40,7 до 10,5 на 100 тыс. населения). Следует отметить, что несмотря на рост показателя в Володарском районе, его значения на протяжении всех 5 лет всегда были ниже, чем в целом по области.</w:t>
      </w:r>
    </w:p>
    <w:p w:rsidR="00ED7F17" w:rsidRDefault="00ED7F17" w:rsidP="00ED7F17">
      <w:pPr>
        <w:suppressAutoHyphens w:val="0"/>
        <w:ind w:firstLine="709"/>
        <w:jc w:val="both"/>
        <w:rPr>
          <w:color w:val="000000"/>
          <w:lang w:val="x-none"/>
        </w:rPr>
      </w:pPr>
    </w:p>
    <w:tbl>
      <w:tblPr>
        <w:tblW w:w="0" w:type="auto"/>
        <w:tblInd w:w="-15" w:type="dxa"/>
        <w:tblLayout w:type="fixed"/>
        <w:tblLook w:val="04A0" w:firstRow="1" w:lastRow="0" w:firstColumn="1" w:lastColumn="0" w:noHBand="0" w:noVBand="1"/>
      </w:tblPr>
      <w:tblGrid>
        <w:gridCol w:w="2641"/>
        <w:gridCol w:w="788"/>
        <w:gridCol w:w="749"/>
        <w:gridCol w:w="749"/>
        <w:gridCol w:w="871"/>
        <w:gridCol w:w="648"/>
        <w:gridCol w:w="702"/>
        <w:gridCol w:w="648"/>
        <w:gridCol w:w="702"/>
        <w:gridCol w:w="648"/>
        <w:gridCol w:w="738"/>
      </w:tblGrid>
      <w:tr w:rsidR="00ED7F17" w:rsidTr="00ED7F17">
        <w:trPr>
          <w:trHeight w:val="315"/>
        </w:trPr>
        <w:tc>
          <w:tcPr>
            <w:tcW w:w="2641" w:type="dxa"/>
            <w:vMerge w:val="restart"/>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Территория</w:t>
            </w:r>
          </w:p>
        </w:tc>
        <w:tc>
          <w:tcPr>
            <w:tcW w:w="7243" w:type="dxa"/>
            <w:gridSpan w:val="10"/>
            <w:tcBorders>
              <w:top w:val="single" w:sz="4" w:space="0" w:color="000000"/>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Инфаркт миокарда (I21-I22)</w:t>
            </w:r>
          </w:p>
        </w:tc>
      </w:tr>
      <w:tr w:rsidR="00ED7F17" w:rsidTr="00ED7F17">
        <w:trPr>
          <w:trHeight w:val="315"/>
        </w:trPr>
        <w:tc>
          <w:tcPr>
            <w:tcW w:w="2641" w:type="dxa"/>
            <w:vMerge/>
            <w:tcBorders>
              <w:top w:val="single" w:sz="4" w:space="0" w:color="000000"/>
              <w:left w:val="single" w:sz="4"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1537" w:type="dxa"/>
            <w:gridSpan w:val="2"/>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2014</w:t>
            </w:r>
          </w:p>
        </w:tc>
        <w:tc>
          <w:tcPr>
            <w:tcW w:w="1620" w:type="dxa"/>
            <w:gridSpan w:val="2"/>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2015</w:t>
            </w:r>
          </w:p>
        </w:tc>
        <w:tc>
          <w:tcPr>
            <w:tcW w:w="1350" w:type="dxa"/>
            <w:gridSpan w:val="2"/>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2016</w:t>
            </w:r>
          </w:p>
        </w:tc>
        <w:tc>
          <w:tcPr>
            <w:tcW w:w="1350" w:type="dxa"/>
            <w:gridSpan w:val="2"/>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2017</w:t>
            </w:r>
          </w:p>
        </w:tc>
        <w:tc>
          <w:tcPr>
            <w:tcW w:w="1386" w:type="dxa"/>
            <w:gridSpan w:val="2"/>
            <w:tcBorders>
              <w:top w:val="single" w:sz="4" w:space="0" w:color="000000"/>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2018</w:t>
            </w:r>
          </w:p>
        </w:tc>
      </w:tr>
      <w:tr w:rsidR="00ED7F17" w:rsidTr="00ED7F17">
        <w:trPr>
          <w:trHeight w:val="480"/>
        </w:trPr>
        <w:tc>
          <w:tcPr>
            <w:tcW w:w="2641" w:type="dxa"/>
            <w:vMerge/>
            <w:tcBorders>
              <w:top w:val="single" w:sz="4" w:space="0" w:color="000000"/>
              <w:left w:val="single" w:sz="4"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87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c>
          <w:tcPr>
            <w:tcW w:w="64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c>
          <w:tcPr>
            <w:tcW w:w="64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c>
          <w:tcPr>
            <w:tcW w:w="64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738" w:type="dxa"/>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Ахтубинский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44</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88,1</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35</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19</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38,6</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36</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74,3</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39</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80,5</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Володарский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14</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29,1</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29,1</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21</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44,1</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16</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33,7</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16</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34,0</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Енотаевский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11</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42,3</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53,8</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77,4</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31,0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47,2</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Икрянинский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37</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76,9</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22</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45,8</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33</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69,2</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27</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56,7</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19</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40,2</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Камызякский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33</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68,4</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32</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66,3</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34</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71,1</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28</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58,9</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18</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38,3</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Красноярский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15</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40,8</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38,1</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16</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43,3</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32,2</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24,3</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Лиманский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20</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63,9</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38,3</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44,9</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15</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48,8</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16</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52,9</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Наримановский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35</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73,3</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25</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52,4</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28</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58,7</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19</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39,6</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18</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37,4</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Приволжский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24</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49,5</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24</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49,5</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22</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44,5</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21</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41,7</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15</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29,4</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Харабалинский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28</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68,5</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61</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149,2</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38</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93,0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23</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56,4</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26</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64,2</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Черноярский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8</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40,7</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45,8</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5,1</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36,2</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10,5</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г.Знаменск</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25</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77,1</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23</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70,9</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24</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74,3</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19</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59,6</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15</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47,4</w:t>
            </w:r>
          </w:p>
        </w:tc>
      </w:tr>
      <w:tr w:rsidR="00ED7F17" w:rsidTr="00ED7F17">
        <w:trPr>
          <w:trHeight w:val="315"/>
        </w:trPr>
        <w:tc>
          <w:tcPr>
            <w:tcW w:w="2641"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bCs/>
                <w:color w:val="000000"/>
                <w:lang w:eastAsia="ru-RU"/>
              </w:rPr>
              <w:t>г. Астрахань</w:t>
            </w:r>
          </w:p>
        </w:tc>
        <w:tc>
          <w:tcPr>
            <w:tcW w:w="788" w:type="dxa"/>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431</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80,9</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379</w:t>
            </w:r>
          </w:p>
        </w:tc>
        <w:tc>
          <w:tcPr>
            <w:tcW w:w="871"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71,1</w:t>
            </w:r>
          </w:p>
        </w:tc>
        <w:tc>
          <w:tcPr>
            <w:tcW w:w="648"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350</w:t>
            </w:r>
          </w:p>
        </w:tc>
        <w:tc>
          <w:tcPr>
            <w:tcW w:w="702"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65,8</w:t>
            </w:r>
          </w:p>
        </w:tc>
        <w:tc>
          <w:tcPr>
            <w:tcW w:w="648"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309</w:t>
            </w:r>
          </w:p>
        </w:tc>
        <w:tc>
          <w:tcPr>
            <w:tcW w:w="702"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58,0</w:t>
            </w:r>
          </w:p>
        </w:tc>
        <w:tc>
          <w:tcPr>
            <w:tcW w:w="648"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245</w:t>
            </w:r>
          </w:p>
        </w:tc>
        <w:tc>
          <w:tcPr>
            <w:tcW w:w="738" w:type="dxa"/>
            <w:tcBorders>
              <w:top w:val="single" w:sz="4" w:space="0" w:color="000000"/>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45,9</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b/>
                <w:bCs/>
                <w:color w:val="000000"/>
                <w:lang w:eastAsia="ru-RU"/>
              </w:rPr>
              <w:t>Свод по АО</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725</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71,5</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664</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65,7</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620</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60,4</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540</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53,4</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450</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44,2</w:t>
            </w:r>
          </w:p>
        </w:tc>
      </w:tr>
    </w:tbl>
    <w:p w:rsidR="00ED7F17" w:rsidRDefault="00ED7F17" w:rsidP="00ED7F17">
      <w:pPr>
        <w:suppressAutoHyphens w:val="0"/>
        <w:ind w:firstLine="709"/>
        <w:jc w:val="both"/>
        <w:rPr>
          <w:color w:val="000000"/>
          <w:lang w:val="x-none"/>
        </w:rPr>
      </w:pPr>
    </w:p>
    <w:p w:rsidR="00ED7F17" w:rsidRDefault="00ED7F17" w:rsidP="00ED7F17">
      <w:pPr>
        <w:suppressAutoHyphens w:val="0"/>
        <w:ind w:firstLine="709"/>
        <w:jc w:val="both"/>
        <w:rPr>
          <w:rFonts w:ascii="Arial" w:eastAsia="Arial" w:hAnsi="Arial" w:cs="Arial"/>
          <w:sz w:val="22"/>
          <w:szCs w:val="22"/>
        </w:rPr>
      </w:pPr>
      <w:r>
        <w:rPr>
          <w:color w:val="000000"/>
        </w:rPr>
        <w:t>Показатель смертности от сердечной недостаточности в 2018 году составил 0,3 на 100 тыс. населения (3 человека), что на 7% ниже значения 2017 года – 1,0 (10 человек) и на 94,7% ниже значения 2014 года – 5,7 (58 человек).</w:t>
      </w:r>
    </w:p>
    <w:p w:rsidR="00ED7F17" w:rsidRDefault="00ED7F17" w:rsidP="00ED7F17">
      <w:pPr>
        <w:suppressAutoHyphens w:val="0"/>
        <w:ind w:firstLine="709"/>
        <w:jc w:val="both"/>
      </w:pPr>
      <w:r>
        <w:rPr>
          <w:color w:val="000000"/>
        </w:rPr>
        <w:t>Случаи смерти от сердечной недостаточности в 2018 году зарегистрированы только в Черноярском районе (5,2 на 100 тыс. населения или 1 человек) и в г. Астрахани (0,4 на 100 тыс. населения или 2 человека). В Енотаевском, Лиманском районах за период 2014 – 2018 годов не зарегистрировано ни одного случая смерти от данной патологии. Наиболее часто случаи смерти от сердечной недостаточности регистрировались в Ахтубинском, Володарском, Икрянинском, Харабалинском районах и в г. Астрахани.</w:t>
      </w:r>
    </w:p>
    <w:p w:rsidR="00ED7F17" w:rsidRDefault="00ED7F17" w:rsidP="00ED7F17">
      <w:pPr>
        <w:suppressAutoHyphens w:val="0"/>
        <w:ind w:firstLine="709"/>
        <w:jc w:val="both"/>
        <w:rPr>
          <w:color w:val="000000"/>
        </w:rPr>
      </w:pPr>
    </w:p>
    <w:tbl>
      <w:tblPr>
        <w:tblW w:w="0" w:type="auto"/>
        <w:tblInd w:w="-15" w:type="dxa"/>
        <w:tblLayout w:type="fixed"/>
        <w:tblLook w:val="04A0" w:firstRow="1" w:lastRow="0" w:firstColumn="1" w:lastColumn="0" w:noHBand="0" w:noVBand="1"/>
      </w:tblPr>
      <w:tblGrid>
        <w:gridCol w:w="2641"/>
        <w:gridCol w:w="788"/>
        <w:gridCol w:w="749"/>
        <w:gridCol w:w="749"/>
        <w:gridCol w:w="871"/>
        <w:gridCol w:w="648"/>
        <w:gridCol w:w="702"/>
        <w:gridCol w:w="648"/>
        <w:gridCol w:w="702"/>
        <w:gridCol w:w="648"/>
        <w:gridCol w:w="708"/>
        <w:gridCol w:w="30"/>
      </w:tblGrid>
      <w:tr w:rsidR="00ED7F17" w:rsidTr="00ED7F17">
        <w:trPr>
          <w:gridAfter w:val="1"/>
          <w:wAfter w:w="30" w:type="dxa"/>
          <w:trHeight w:val="315"/>
        </w:trPr>
        <w:tc>
          <w:tcPr>
            <w:tcW w:w="2641" w:type="dxa"/>
            <w:vMerge w:val="restart"/>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Территория</w:t>
            </w:r>
          </w:p>
        </w:tc>
        <w:tc>
          <w:tcPr>
            <w:tcW w:w="7213" w:type="dxa"/>
            <w:gridSpan w:val="10"/>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Сердечная недостаточность (I50)</w:t>
            </w:r>
          </w:p>
        </w:tc>
      </w:tr>
      <w:tr w:rsidR="00ED7F17" w:rsidTr="00ED7F17">
        <w:trPr>
          <w:trHeight w:val="315"/>
        </w:trPr>
        <w:tc>
          <w:tcPr>
            <w:tcW w:w="2641" w:type="dxa"/>
            <w:vMerge/>
            <w:tcBorders>
              <w:top w:val="single" w:sz="4" w:space="0" w:color="000000"/>
              <w:left w:val="single" w:sz="4"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1537" w:type="dxa"/>
            <w:gridSpan w:val="2"/>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2014</w:t>
            </w:r>
          </w:p>
        </w:tc>
        <w:tc>
          <w:tcPr>
            <w:tcW w:w="1620" w:type="dxa"/>
            <w:gridSpan w:val="2"/>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2015</w:t>
            </w:r>
          </w:p>
        </w:tc>
        <w:tc>
          <w:tcPr>
            <w:tcW w:w="1350" w:type="dxa"/>
            <w:gridSpan w:val="2"/>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2016</w:t>
            </w:r>
          </w:p>
        </w:tc>
        <w:tc>
          <w:tcPr>
            <w:tcW w:w="1350" w:type="dxa"/>
            <w:gridSpan w:val="2"/>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2017</w:t>
            </w:r>
          </w:p>
        </w:tc>
        <w:tc>
          <w:tcPr>
            <w:tcW w:w="1386" w:type="dxa"/>
            <w:gridSpan w:val="3"/>
            <w:tcBorders>
              <w:top w:val="single" w:sz="4" w:space="0" w:color="000000"/>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2018</w:t>
            </w:r>
          </w:p>
        </w:tc>
      </w:tr>
      <w:tr w:rsidR="00ED7F17" w:rsidTr="00ED7F17">
        <w:trPr>
          <w:trHeight w:val="480"/>
        </w:trPr>
        <w:tc>
          <w:tcPr>
            <w:tcW w:w="2641" w:type="dxa"/>
            <w:vMerge/>
            <w:tcBorders>
              <w:top w:val="single" w:sz="4" w:space="0" w:color="000000"/>
              <w:left w:val="single" w:sz="4"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87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c>
          <w:tcPr>
            <w:tcW w:w="64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c>
          <w:tcPr>
            <w:tcW w:w="64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c>
          <w:tcPr>
            <w:tcW w:w="64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738"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Ахтубинский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6,1</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2,1</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38"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Володарский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8,3</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4,2</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2,1</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38"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Енотаевский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38"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Икрянинский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8,3</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2,1</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8,4</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38"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Камызякский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6,2</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2,1</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38"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Красноярский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5,4</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2,7</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38"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Лиманский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38"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Наримановский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4,2</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38"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Приволжский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2,1</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2,1</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38"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Харабалинский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11</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26,9</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4,9</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4,9</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38"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Черноярский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5,1</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w:t>
            </w:r>
          </w:p>
        </w:tc>
        <w:tc>
          <w:tcPr>
            <w:tcW w:w="738"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5,2</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г.Знаменск</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12,3</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38"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641"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bCs/>
                <w:color w:val="000000"/>
                <w:lang w:eastAsia="ru-RU"/>
              </w:rPr>
              <w:t>г. Астрахань</w:t>
            </w:r>
          </w:p>
        </w:tc>
        <w:tc>
          <w:tcPr>
            <w:tcW w:w="788" w:type="dxa"/>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24</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4,5</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5</w:t>
            </w:r>
          </w:p>
        </w:tc>
        <w:tc>
          <w:tcPr>
            <w:tcW w:w="871"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0,9</w:t>
            </w:r>
          </w:p>
        </w:tc>
        <w:tc>
          <w:tcPr>
            <w:tcW w:w="648"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0</w:t>
            </w:r>
          </w:p>
        </w:tc>
        <w:tc>
          <w:tcPr>
            <w:tcW w:w="702"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0,0</w:t>
            </w:r>
          </w:p>
        </w:tc>
        <w:tc>
          <w:tcPr>
            <w:tcW w:w="648"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2</w:t>
            </w:r>
          </w:p>
        </w:tc>
        <w:tc>
          <w:tcPr>
            <w:tcW w:w="702"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0,4</w:t>
            </w:r>
          </w:p>
        </w:tc>
        <w:tc>
          <w:tcPr>
            <w:tcW w:w="648"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2</w:t>
            </w:r>
          </w:p>
        </w:tc>
        <w:tc>
          <w:tcPr>
            <w:tcW w:w="738" w:type="dxa"/>
            <w:gridSpan w:val="2"/>
            <w:tcBorders>
              <w:top w:val="single" w:sz="4" w:space="0" w:color="000000"/>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0,4</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b/>
                <w:bCs/>
                <w:color w:val="000000"/>
                <w:lang w:eastAsia="ru-RU"/>
              </w:rPr>
              <w:t>Свод по АО</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58</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5,7</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9</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0,9</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7</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0,7</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10</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w:t>
            </w:r>
          </w:p>
        </w:tc>
        <w:tc>
          <w:tcPr>
            <w:tcW w:w="738"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0,3</w:t>
            </w:r>
          </w:p>
        </w:tc>
      </w:tr>
    </w:tbl>
    <w:p w:rsidR="00ED7F17" w:rsidRDefault="00ED7F17" w:rsidP="00ED7F17">
      <w:pPr>
        <w:suppressAutoHyphens w:val="0"/>
        <w:ind w:firstLine="709"/>
        <w:jc w:val="both"/>
        <w:rPr>
          <w:color w:val="000000"/>
        </w:rPr>
      </w:pPr>
    </w:p>
    <w:p w:rsidR="00ED7F17" w:rsidRDefault="00ED7F17" w:rsidP="00ED7F17">
      <w:pPr>
        <w:suppressAutoHyphens w:val="0"/>
        <w:ind w:firstLine="709"/>
        <w:jc w:val="both"/>
        <w:rPr>
          <w:rFonts w:ascii="Arial" w:eastAsia="Arial" w:hAnsi="Arial" w:cs="Arial"/>
          <w:sz w:val="22"/>
          <w:szCs w:val="22"/>
        </w:rPr>
      </w:pPr>
      <w:r>
        <w:rPr>
          <w:color w:val="000000"/>
        </w:rPr>
        <w:t>В период с 2015 по 2018 годы не зарегистрировано ни одного случая смерти от фибрилляции и трепетания предсердий. В 2014 году от данной патологии умерло 13 человек, показатель составил 1,3 на 100 тыс. населения.</w:t>
      </w:r>
    </w:p>
    <w:p w:rsidR="00ED7F17" w:rsidRDefault="00ED7F17" w:rsidP="00ED7F17">
      <w:pPr>
        <w:suppressAutoHyphens w:val="0"/>
        <w:ind w:firstLine="709"/>
        <w:jc w:val="both"/>
        <w:rPr>
          <w:color w:val="000000"/>
        </w:rPr>
      </w:pPr>
    </w:p>
    <w:tbl>
      <w:tblPr>
        <w:tblW w:w="0" w:type="auto"/>
        <w:tblInd w:w="-15" w:type="dxa"/>
        <w:tblLayout w:type="fixed"/>
        <w:tblLook w:val="04A0" w:firstRow="1" w:lastRow="0" w:firstColumn="1" w:lastColumn="0" w:noHBand="0" w:noVBand="1"/>
      </w:tblPr>
      <w:tblGrid>
        <w:gridCol w:w="2641"/>
        <w:gridCol w:w="788"/>
        <w:gridCol w:w="749"/>
        <w:gridCol w:w="749"/>
        <w:gridCol w:w="871"/>
        <w:gridCol w:w="648"/>
        <w:gridCol w:w="702"/>
        <w:gridCol w:w="648"/>
        <w:gridCol w:w="702"/>
        <w:gridCol w:w="648"/>
        <w:gridCol w:w="738"/>
      </w:tblGrid>
      <w:tr w:rsidR="00ED7F17" w:rsidTr="00ED7F17">
        <w:trPr>
          <w:trHeight w:val="315"/>
        </w:trPr>
        <w:tc>
          <w:tcPr>
            <w:tcW w:w="2641" w:type="dxa"/>
            <w:vMerge w:val="restart"/>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Территория</w:t>
            </w:r>
          </w:p>
        </w:tc>
        <w:tc>
          <w:tcPr>
            <w:tcW w:w="7243" w:type="dxa"/>
            <w:gridSpan w:val="10"/>
            <w:tcBorders>
              <w:top w:val="single" w:sz="4" w:space="0" w:color="000000"/>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Фибрилляция и трепетание предсердий (I48)</w:t>
            </w:r>
          </w:p>
        </w:tc>
      </w:tr>
      <w:tr w:rsidR="00ED7F17" w:rsidTr="00ED7F17">
        <w:trPr>
          <w:trHeight w:val="315"/>
        </w:trPr>
        <w:tc>
          <w:tcPr>
            <w:tcW w:w="2641" w:type="dxa"/>
            <w:vMerge/>
            <w:tcBorders>
              <w:top w:val="single" w:sz="4" w:space="0" w:color="000000"/>
              <w:left w:val="single" w:sz="4"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1537" w:type="dxa"/>
            <w:gridSpan w:val="2"/>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2014</w:t>
            </w:r>
          </w:p>
        </w:tc>
        <w:tc>
          <w:tcPr>
            <w:tcW w:w="1620" w:type="dxa"/>
            <w:gridSpan w:val="2"/>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2015</w:t>
            </w:r>
          </w:p>
        </w:tc>
        <w:tc>
          <w:tcPr>
            <w:tcW w:w="1350" w:type="dxa"/>
            <w:gridSpan w:val="2"/>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2016</w:t>
            </w:r>
          </w:p>
        </w:tc>
        <w:tc>
          <w:tcPr>
            <w:tcW w:w="1350" w:type="dxa"/>
            <w:gridSpan w:val="2"/>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2017</w:t>
            </w:r>
          </w:p>
        </w:tc>
        <w:tc>
          <w:tcPr>
            <w:tcW w:w="1386" w:type="dxa"/>
            <w:gridSpan w:val="2"/>
            <w:tcBorders>
              <w:top w:val="single" w:sz="4" w:space="0" w:color="000000"/>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2018</w:t>
            </w:r>
          </w:p>
        </w:tc>
      </w:tr>
      <w:tr w:rsidR="00ED7F17" w:rsidTr="00ED7F17">
        <w:trPr>
          <w:trHeight w:val="480"/>
        </w:trPr>
        <w:tc>
          <w:tcPr>
            <w:tcW w:w="2641" w:type="dxa"/>
            <w:vMerge/>
            <w:tcBorders>
              <w:top w:val="single" w:sz="4" w:space="0" w:color="000000"/>
              <w:left w:val="single" w:sz="4"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87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c>
          <w:tcPr>
            <w:tcW w:w="64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c>
          <w:tcPr>
            <w:tcW w:w="64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c>
          <w:tcPr>
            <w:tcW w:w="64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738" w:type="dxa"/>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Ахтубинский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Володарский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Енотаевский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Икрянинский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Камызякский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4,1</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Красноярский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8,2</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Лиманский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Наримановский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Приволжский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Харабалинский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Черноярский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г.Знаменск</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3,1</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641"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bCs/>
                <w:color w:val="000000"/>
                <w:lang w:eastAsia="ru-RU"/>
              </w:rPr>
              <w:t>г. Астрахань</w:t>
            </w:r>
          </w:p>
        </w:tc>
        <w:tc>
          <w:tcPr>
            <w:tcW w:w="788" w:type="dxa"/>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5</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0,9</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0</w:t>
            </w:r>
          </w:p>
        </w:tc>
        <w:tc>
          <w:tcPr>
            <w:tcW w:w="871"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0</w:t>
            </w:r>
          </w:p>
        </w:tc>
        <w:tc>
          <w:tcPr>
            <w:tcW w:w="702"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0</w:t>
            </w:r>
          </w:p>
        </w:tc>
        <w:tc>
          <w:tcPr>
            <w:tcW w:w="702"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0</w:t>
            </w:r>
          </w:p>
        </w:tc>
        <w:tc>
          <w:tcPr>
            <w:tcW w:w="738" w:type="dxa"/>
            <w:tcBorders>
              <w:top w:val="single" w:sz="4" w:space="0" w:color="000000"/>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0,0</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b/>
                <w:bCs/>
                <w:color w:val="000000"/>
                <w:lang w:eastAsia="ru-RU"/>
              </w:rPr>
              <w:t>Свод по АО</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13</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1,9</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0,0</w:t>
            </w:r>
          </w:p>
        </w:tc>
      </w:tr>
    </w:tbl>
    <w:p w:rsidR="00ED7F17" w:rsidRDefault="00ED7F17" w:rsidP="00ED7F17">
      <w:pPr>
        <w:suppressAutoHyphens w:val="0"/>
        <w:ind w:firstLine="709"/>
        <w:jc w:val="both"/>
        <w:rPr>
          <w:color w:val="000000"/>
        </w:rPr>
      </w:pPr>
    </w:p>
    <w:p w:rsidR="00ED7F17" w:rsidRDefault="00ED7F17" w:rsidP="00ED7F17">
      <w:pPr>
        <w:suppressAutoHyphens w:val="0"/>
        <w:ind w:firstLine="709"/>
        <w:jc w:val="both"/>
        <w:rPr>
          <w:color w:val="000000"/>
        </w:rPr>
      </w:pPr>
    </w:p>
    <w:p w:rsidR="00ED7F17" w:rsidRDefault="00ED7F17" w:rsidP="00ED7F17">
      <w:pPr>
        <w:suppressAutoHyphens w:val="0"/>
        <w:ind w:firstLine="709"/>
        <w:jc w:val="both"/>
        <w:rPr>
          <w:rFonts w:ascii="Arial" w:eastAsia="Arial" w:hAnsi="Arial" w:cs="Arial"/>
          <w:sz w:val="22"/>
          <w:szCs w:val="22"/>
        </w:rPr>
      </w:pPr>
      <w:r>
        <w:rPr>
          <w:color w:val="000000"/>
        </w:rPr>
        <w:t>Смерть от остановки сердца в 2017 – 2018 годах на территории Астраханской области не регистрировалась. В 2014 году таких случаев было 10 и показатель составил 1,0 на 100 тыс. населения.</w:t>
      </w:r>
    </w:p>
    <w:p w:rsidR="00ED7F17" w:rsidRDefault="00ED7F17" w:rsidP="00ED7F17">
      <w:pPr>
        <w:suppressAutoHyphens w:val="0"/>
        <w:ind w:firstLine="709"/>
        <w:jc w:val="both"/>
        <w:rPr>
          <w:color w:val="000000"/>
        </w:rPr>
      </w:pPr>
    </w:p>
    <w:tbl>
      <w:tblPr>
        <w:tblW w:w="0" w:type="auto"/>
        <w:tblInd w:w="-15" w:type="dxa"/>
        <w:tblLayout w:type="fixed"/>
        <w:tblLook w:val="04A0" w:firstRow="1" w:lastRow="0" w:firstColumn="1" w:lastColumn="0" w:noHBand="0" w:noVBand="1"/>
      </w:tblPr>
      <w:tblGrid>
        <w:gridCol w:w="2641"/>
        <w:gridCol w:w="788"/>
        <w:gridCol w:w="749"/>
        <w:gridCol w:w="749"/>
        <w:gridCol w:w="871"/>
        <w:gridCol w:w="648"/>
        <w:gridCol w:w="702"/>
        <w:gridCol w:w="648"/>
        <w:gridCol w:w="702"/>
        <w:gridCol w:w="648"/>
        <w:gridCol w:w="738"/>
      </w:tblGrid>
      <w:tr w:rsidR="00ED7F17" w:rsidTr="00ED7F17">
        <w:trPr>
          <w:trHeight w:val="315"/>
        </w:trPr>
        <w:tc>
          <w:tcPr>
            <w:tcW w:w="2641" w:type="dxa"/>
            <w:vMerge w:val="restart"/>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Территория</w:t>
            </w:r>
          </w:p>
        </w:tc>
        <w:tc>
          <w:tcPr>
            <w:tcW w:w="7243" w:type="dxa"/>
            <w:gridSpan w:val="10"/>
            <w:tcBorders>
              <w:top w:val="single" w:sz="4" w:space="0" w:color="000000"/>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Остановка сердца (I46)</w:t>
            </w:r>
          </w:p>
        </w:tc>
      </w:tr>
      <w:tr w:rsidR="00ED7F17" w:rsidTr="00ED7F17">
        <w:trPr>
          <w:trHeight w:val="315"/>
        </w:trPr>
        <w:tc>
          <w:tcPr>
            <w:tcW w:w="2641" w:type="dxa"/>
            <w:vMerge/>
            <w:tcBorders>
              <w:top w:val="single" w:sz="4" w:space="0" w:color="000000"/>
              <w:left w:val="single" w:sz="4"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1537" w:type="dxa"/>
            <w:gridSpan w:val="2"/>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2014</w:t>
            </w:r>
          </w:p>
        </w:tc>
        <w:tc>
          <w:tcPr>
            <w:tcW w:w="1620" w:type="dxa"/>
            <w:gridSpan w:val="2"/>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2015</w:t>
            </w:r>
          </w:p>
        </w:tc>
        <w:tc>
          <w:tcPr>
            <w:tcW w:w="1350" w:type="dxa"/>
            <w:gridSpan w:val="2"/>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2016</w:t>
            </w:r>
          </w:p>
        </w:tc>
        <w:tc>
          <w:tcPr>
            <w:tcW w:w="1350" w:type="dxa"/>
            <w:gridSpan w:val="2"/>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2017</w:t>
            </w:r>
          </w:p>
        </w:tc>
        <w:tc>
          <w:tcPr>
            <w:tcW w:w="1386" w:type="dxa"/>
            <w:gridSpan w:val="2"/>
            <w:tcBorders>
              <w:top w:val="single" w:sz="4" w:space="0" w:color="000000"/>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2018</w:t>
            </w:r>
          </w:p>
        </w:tc>
      </w:tr>
      <w:tr w:rsidR="00ED7F17" w:rsidTr="00ED7F17">
        <w:trPr>
          <w:trHeight w:val="480"/>
        </w:trPr>
        <w:tc>
          <w:tcPr>
            <w:tcW w:w="2641" w:type="dxa"/>
            <w:vMerge/>
            <w:tcBorders>
              <w:top w:val="single" w:sz="4" w:space="0" w:color="000000"/>
              <w:left w:val="single" w:sz="4"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87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c>
          <w:tcPr>
            <w:tcW w:w="64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c>
          <w:tcPr>
            <w:tcW w:w="64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c>
          <w:tcPr>
            <w:tcW w:w="64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738" w:type="dxa"/>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Ахтубинский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Володарский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Енотаевский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Икрянинский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Камызякский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Красноярский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Лиманский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Наримановский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Приволжский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Харабалинский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6</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14,7</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Черноярский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г.Знаменск</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641"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bCs/>
                <w:color w:val="000000"/>
                <w:lang w:eastAsia="ru-RU"/>
              </w:rPr>
              <w:t>г. Астрахань</w:t>
            </w:r>
          </w:p>
        </w:tc>
        <w:tc>
          <w:tcPr>
            <w:tcW w:w="788" w:type="dxa"/>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4</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0,8</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2</w:t>
            </w:r>
          </w:p>
        </w:tc>
        <w:tc>
          <w:tcPr>
            <w:tcW w:w="871"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0,4</w:t>
            </w:r>
          </w:p>
        </w:tc>
        <w:tc>
          <w:tcPr>
            <w:tcW w:w="648"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1</w:t>
            </w:r>
          </w:p>
        </w:tc>
        <w:tc>
          <w:tcPr>
            <w:tcW w:w="702"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0,2</w:t>
            </w:r>
          </w:p>
        </w:tc>
        <w:tc>
          <w:tcPr>
            <w:tcW w:w="648"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 </w:t>
            </w:r>
          </w:p>
        </w:tc>
        <w:tc>
          <w:tcPr>
            <w:tcW w:w="702"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0,0</w:t>
            </w:r>
          </w:p>
        </w:tc>
        <w:tc>
          <w:tcPr>
            <w:tcW w:w="648"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 </w:t>
            </w:r>
          </w:p>
        </w:tc>
        <w:tc>
          <w:tcPr>
            <w:tcW w:w="738" w:type="dxa"/>
            <w:tcBorders>
              <w:top w:val="single" w:sz="4" w:space="0" w:color="000000"/>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0,0</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b/>
                <w:bCs/>
                <w:color w:val="000000"/>
                <w:lang w:eastAsia="ru-RU"/>
              </w:rPr>
              <w:t>Свод по АО</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10</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0,2</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0,1</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0,0</w:t>
            </w:r>
          </w:p>
        </w:tc>
      </w:tr>
    </w:tbl>
    <w:p w:rsidR="00ED7F17" w:rsidRDefault="00ED7F17" w:rsidP="00ED7F17">
      <w:pPr>
        <w:suppressAutoHyphens w:val="0"/>
        <w:ind w:firstLine="709"/>
        <w:jc w:val="both"/>
        <w:rPr>
          <w:color w:val="000000"/>
        </w:rPr>
      </w:pPr>
    </w:p>
    <w:p w:rsidR="00ED7F17" w:rsidRDefault="00ED7F17" w:rsidP="00ED7F17">
      <w:pPr>
        <w:shd w:val="clear" w:color="auto" w:fill="FFFFFF"/>
        <w:suppressAutoHyphens w:val="0"/>
        <w:ind w:firstLine="697"/>
        <w:jc w:val="both"/>
        <w:rPr>
          <w:rFonts w:ascii="Arial" w:eastAsia="Arial" w:hAnsi="Arial" w:cs="Arial"/>
          <w:sz w:val="22"/>
          <w:szCs w:val="22"/>
        </w:rPr>
      </w:pPr>
      <w:r>
        <w:rPr>
          <w:color w:val="auto"/>
          <w:lang w:eastAsia="ru-RU"/>
        </w:rPr>
        <w:t>Смертность от цереброваскулярных заболеваний в 2018 году составила 149,9 на 100 тыс. населения (1525 чел.), что выше показателя 2017 года (140,8 на 100 тыс. населения или 1443 чел.) на 6,5%. По отношению к 2014 году показатель снизился на 13,7% (173,7 на 100 тыс. или 1771 человек).</w:t>
      </w:r>
    </w:p>
    <w:p w:rsidR="00ED7F17" w:rsidRDefault="00ED7F17" w:rsidP="00ED7F17">
      <w:pPr>
        <w:suppressAutoHyphens w:val="0"/>
        <w:ind w:firstLine="709"/>
        <w:jc w:val="both"/>
      </w:pPr>
      <w:r>
        <w:rPr>
          <w:color w:val="000000"/>
        </w:rPr>
        <w:t>Самый высокий показатель смертности от цереброваскуляных болезней зарегистрирован в Лиманском районе – 320,7 на 100 тыс. населения, самый низкий – в Харабалинском районе – 91,3 на 100 тыс. населения. Снижение показателя в сравнении с 2014 годом отмечается в Ахтубинском, Енотаевском, Володарском, Камызякском Харабалинском, районах области, в ЗАТО Знаменск и г. Астрахани. Наибольшее снижение показателя отмечается в Харабалинском районе – на 33,3% (с 137,0 до 91,3 на 100 тыс. населения). Рост показателя наблюдается в Икрянинском, Лиманском, Наримановском, Приволжском, Черноярском районах. Наибольший рост показателя наблюдается в Лиманском районе в 4,4 раза (с 73,5 до 320,7 на 100 тыс. населения).</w:t>
      </w:r>
    </w:p>
    <w:p w:rsidR="00ED7F17" w:rsidRDefault="00ED7F17" w:rsidP="00ED7F17">
      <w:pPr>
        <w:shd w:val="clear" w:color="auto" w:fill="FFFFFF"/>
        <w:suppressAutoHyphens w:val="0"/>
        <w:ind w:firstLine="697"/>
        <w:jc w:val="both"/>
        <w:rPr>
          <w:color w:val="auto"/>
          <w:lang w:eastAsia="ru-RU"/>
        </w:rPr>
      </w:pPr>
    </w:p>
    <w:tbl>
      <w:tblPr>
        <w:tblW w:w="0" w:type="auto"/>
        <w:tblInd w:w="-15" w:type="dxa"/>
        <w:tblLayout w:type="fixed"/>
        <w:tblLook w:val="04A0" w:firstRow="1" w:lastRow="0" w:firstColumn="1" w:lastColumn="0" w:noHBand="0" w:noVBand="1"/>
      </w:tblPr>
      <w:tblGrid>
        <w:gridCol w:w="2641"/>
        <w:gridCol w:w="788"/>
        <w:gridCol w:w="749"/>
        <w:gridCol w:w="749"/>
        <w:gridCol w:w="871"/>
        <w:gridCol w:w="648"/>
        <w:gridCol w:w="702"/>
        <w:gridCol w:w="648"/>
        <w:gridCol w:w="702"/>
        <w:gridCol w:w="648"/>
        <w:gridCol w:w="738"/>
      </w:tblGrid>
      <w:tr w:rsidR="00ED7F17" w:rsidTr="00ED7F17">
        <w:trPr>
          <w:trHeight w:val="315"/>
        </w:trPr>
        <w:tc>
          <w:tcPr>
            <w:tcW w:w="2641" w:type="dxa"/>
            <w:vMerge w:val="restart"/>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Территория</w:t>
            </w:r>
          </w:p>
        </w:tc>
        <w:tc>
          <w:tcPr>
            <w:tcW w:w="7243" w:type="dxa"/>
            <w:gridSpan w:val="10"/>
            <w:tcBorders>
              <w:top w:val="single" w:sz="4" w:space="0" w:color="000000"/>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Цереброваскулярные болезни (I60-I69)</w:t>
            </w:r>
          </w:p>
        </w:tc>
      </w:tr>
      <w:tr w:rsidR="00ED7F17" w:rsidTr="00ED7F17">
        <w:trPr>
          <w:trHeight w:val="315"/>
        </w:trPr>
        <w:tc>
          <w:tcPr>
            <w:tcW w:w="2641" w:type="dxa"/>
            <w:vMerge/>
            <w:tcBorders>
              <w:top w:val="single" w:sz="4" w:space="0" w:color="000000"/>
              <w:left w:val="single" w:sz="4"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1537" w:type="dxa"/>
            <w:gridSpan w:val="2"/>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2014</w:t>
            </w:r>
          </w:p>
        </w:tc>
        <w:tc>
          <w:tcPr>
            <w:tcW w:w="1620" w:type="dxa"/>
            <w:gridSpan w:val="2"/>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2015</w:t>
            </w:r>
          </w:p>
        </w:tc>
        <w:tc>
          <w:tcPr>
            <w:tcW w:w="1350" w:type="dxa"/>
            <w:gridSpan w:val="2"/>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2016</w:t>
            </w:r>
          </w:p>
        </w:tc>
        <w:tc>
          <w:tcPr>
            <w:tcW w:w="1350" w:type="dxa"/>
            <w:gridSpan w:val="2"/>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2017</w:t>
            </w:r>
          </w:p>
        </w:tc>
        <w:tc>
          <w:tcPr>
            <w:tcW w:w="1386" w:type="dxa"/>
            <w:gridSpan w:val="2"/>
            <w:tcBorders>
              <w:top w:val="single" w:sz="4" w:space="0" w:color="000000"/>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2018</w:t>
            </w:r>
          </w:p>
        </w:tc>
      </w:tr>
      <w:tr w:rsidR="00ED7F17" w:rsidTr="00ED7F17">
        <w:trPr>
          <w:trHeight w:val="480"/>
        </w:trPr>
        <w:tc>
          <w:tcPr>
            <w:tcW w:w="2641" w:type="dxa"/>
            <w:vMerge/>
            <w:tcBorders>
              <w:top w:val="single" w:sz="4" w:space="0" w:color="000000"/>
              <w:left w:val="single" w:sz="4"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87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c>
          <w:tcPr>
            <w:tcW w:w="64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c>
          <w:tcPr>
            <w:tcW w:w="64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c>
          <w:tcPr>
            <w:tcW w:w="64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738" w:type="dxa"/>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Ахтубинский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147</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294,2</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128</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256,2</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163</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330,9</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138</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284,6</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117</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241,4</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Володарский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66</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137,3</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51</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106,1</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44</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92,4</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41</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86,3</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59</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125,3</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Енотаевский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38</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146,1</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53</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203,8</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36</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139,3</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37</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143,5</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36</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141,7</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Икрянинский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79</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164,3</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65</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135,2</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60</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125,8</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54</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113,4</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93</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196,6</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Камызякский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119</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246,6</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124</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257,0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77</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161,0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97</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203,9</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90</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191,4</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Красноярский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28</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76,1</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38</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103,3</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29</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78,5</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28</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75,0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41</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110,6</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Лиманский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23</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73,5</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63,9</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41,7</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24</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78,1</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97</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320,7</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Наримановский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52</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108,9</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45</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94,3</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64</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134,3</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69</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143,9</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55</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114,2</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Приволжский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59</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121,7</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56</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115,5</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64</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129,5</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59</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117,3</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65</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127,3</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Харабалинский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56</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137,0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44</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107,6</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36</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88,1</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37</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90,8</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37</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91,3</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Черноярский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14</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71,2</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26</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132,3</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46,3</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72,4</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26</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136,0</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г.Знаменск</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42</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129,5</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18</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55,5</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19</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58,8</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36</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112,9</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33</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104,3</w:t>
            </w:r>
          </w:p>
        </w:tc>
      </w:tr>
      <w:tr w:rsidR="00ED7F17" w:rsidTr="00ED7F17">
        <w:trPr>
          <w:trHeight w:val="315"/>
        </w:trPr>
        <w:tc>
          <w:tcPr>
            <w:tcW w:w="2641"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bCs/>
                <w:color w:val="000000"/>
                <w:lang w:eastAsia="ru-RU"/>
              </w:rPr>
              <w:t>г. Астрахань</w:t>
            </w:r>
          </w:p>
        </w:tc>
        <w:tc>
          <w:tcPr>
            <w:tcW w:w="788" w:type="dxa"/>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1048</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196,7</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956</w:t>
            </w:r>
          </w:p>
        </w:tc>
        <w:tc>
          <w:tcPr>
            <w:tcW w:w="871"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179,5</w:t>
            </w:r>
          </w:p>
        </w:tc>
        <w:tc>
          <w:tcPr>
            <w:tcW w:w="648"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859</w:t>
            </w:r>
          </w:p>
        </w:tc>
        <w:tc>
          <w:tcPr>
            <w:tcW w:w="702"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161,6</w:t>
            </w:r>
          </w:p>
        </w:tc>
        <w:tc>
          <w:tcPr>
            <w:tcW w:w="648"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809</w:t>
            </w:r>
          </w:p>
        </w:tc>
        <w:tc>
          <w:tcPr>
            <w:tcW w:w="702"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151,9</w:t>
            </w:r>
          </w:p>
        </w:tc>
        <w:tc>
          <w:tcPr>
            <w:tcW w:w="648"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779</w:t>
            </w:r>
          </w:p>
        </w:tc>
        <w:tc>
          <w:tcPr>
            <w:tcW w:w="738" w:type="dxa"/>
            <w:tcBorders>
              <w:top w:val="single" w:sz="4" w:space="0" w:color="000000"/>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145,9</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b/>
                <w:bCs/>
                <w:color w:val="000000"/>
                <w:lang w:eastAsia="ru-RU"/>
              </w:rPr>
              <w:t>Свод по АО</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1771</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173,7</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1627</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159,6</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1473</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146,2</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1443</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140,8</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1528</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150,2</w:t>
            </w:r>
          </w:p>
        </w:tc>
      </w:tr>
    </w:tbl>
    <w:p w:rsidR="00ED7F17" w:rsidRDefault="00ED7F17" w:rsidP="00ED7F17">
      <w:pPr>
        <w:shd w:val="clear" w:color="auto" w:fill="FFFFFF"/>
        <w:suppressAutoHyphens w:val="0"/>
        <w:ind w:firstLine="697"/>
        <w:jc w:val="both"/>
        <w:rPr>
          <w:rFonts w:eastAsia="Arial"/>
          <w:color w:val="auto"/>
          <w:lang w:eastAsia="ru-RU"/>
        </w:rPr>
      </w:pPr>
    </w:p>
    <w:p w:rsidR="00ED7F17" w:rsidRDefault="00ED7F17" w:rsidP="0091552F">
      <w:pPr>
        <w:shd w:val="clear" w:color="auto" w:fill="FFFFFF"/>
        <w:suppressAutoHyphens w:val="0"/>
        <w:ind w:right="-285" w:firstLine="697"/>
        <w:jc w:val="both"/>
        <w:rPr>
          <w:rFonts w:ascii="Arial" w:hAnsi="Arial" w:cs="Arial"/>
          <w:sz w:val="22"/>
          <w:szCs w:val="22"/>
        </w:rPr>
      </w:pPr>
      <w:r>
        <w:rPr>
          <w:color w:val="auto"/>
          <w:lang w:eastAsia="ru-RU"/>
        </w:rPr>
        <w:t>Показатель смертности от острых нарушений мозгового кровообращения в 2018 году составил 100,5 на 100 тыс. населения (умерло 1019 человек), что выше на 3,0% показателя 2017 года (97,6 на 100 тыс. населения или 998 чел.) но ниже показателя 2014 года на 18,2% 122,8 на 100 тысяч или 1252 чел.).</w:t>
      </w:r>
    </w:p>
    <w:p w:rsidR="00ED7F17" w:rsidRDefault="00ED7F17" w:rsidP="0091552F">
      <w:pPr>
        <w:shd w:val="clear" w:color="auto" w:fill="FFFFFF"/>
        <w:suppressAutoHyphens w:val="0"/>
        <w:ind w:right="-285" w:firstLine="697"/>
        <w:jc w:val="both"/>
      </w:pPr>
      <w:r>
        <w:rPr>
          <w:color w:val="auto"/>
          <w:lang w:eastAsia="ru-RU"/>
        </w:rPr>
        <w:t>В структуре смертности населения области от ОНМК в 2018 году основная доля (64,2%) принадлежит инфаркту мозга, смертность от которого составила 64,1 на 100 тысяч (653 человек), что на 0,94% превышает показатель предыдущего года - 63,5 на 100 тысяч (647 человека), но на 21,8% ниже аналогичного показателя 2014 года – 82,0 на 100 тысяч (830 человека).</w:t>
      </w:r>
    </w:p>
    <w:p w:rsidR="00ED7F17" w:rsidRDefault="00ED7F17" w:rsidP="0091552F">
      <w:pPr>
        <w:suppressAutoHyphens w:val="0"/>
        <w:ind w:right="-285" w:firstLine="709"/>
        <w:jc w:val="both"/>
      </w:pPr>
      <w:r>
        <w:rPr>
          <w:color w:val="000000"/>
        </w:rPr>
        <w:t>Самый высокий показатель смертности от инфаркта мозга зарегистрирован в Камызякском районе – 76,5 на 100 тыс. населения, самый низкий – в Черноярском районе – 20,9 на 100 тыс. населения. Снижение показателя в сравнении с 2014 годом отмечается в Ахтубинском, Енотаевском, Камызякском, Приволжском, Харабалинском, Черноярском районах области, в ЗАТО Знаменск и г. Астрахани. Наибольшее снижение показателя отмечается в Харабалинском районе – на 49,6% (с 35,6 до 20,9 на 100 тыс. населения). Рост показателя наблюдается в Енотаевском, Икрянинском, Краноярском, Лиманском, Наримановсеом районах. Наибольший рост показателя наблюдается в Красноярском районе на 35,9% (с 51,6 до 70,2 на 100 тыс. населения).</w:t>
      </w:r>
    </w:p>
    <w:p w:rsidR="00ED7F17" w:rsidRDefault="00ED7F17" w:rsidP="00ED7F17">
      <w:pPr>
        <w:shd w:val="clear" w:color="auto" w:fill="FFFFFF"/>
        <w:suppressAutoHyphens w:val="0"/>
        <w:ind w:firstLine="697"/>
        <w:jc w:val="both"/>
        <w:rPr>
          <w:color w:val="auto"/>
          <w:lang w:eastAsia="ru-RU"/>
        </w:rPr>
      </w:pPr>
    </w:p>
    <w:tbl>
      <w:tblPr>
        <w:tblW w:w="0" w:type="auto"/>
        <w:tblInd w:w="-15" w:type="dxa"/>
        <w:tblLayout w:type="fixed"/>
        <w:tblLook w:val="04A0" w:firstRow="1" w:lastRow="0" w:firstColumn="1" w:lastColumn="0" w:noHBand="0" w:noVBand="1"/>
      </w:tblPr>
      <w:tblGrid>
        <w:gridCol w:w="2641"/>
        <w:gridCol w:w="788"/>
        <w:gridCol w:w="749"/>
        <w:gridCol w:w="749"/>
        <w:gridCol w:w="871"/>
        <w:gridCol w:w="648"/>
        <w:gridCol w:w="702"/>
        <w:gridCol w:w="648"/>
        <w:gridCol w:w="702"/>
        <w:gridCol w:w="648"/>
        <w:gridCol w:w="738"/>
      </w:tblGrid>
      <w:tr w:rsidR="00ED7F17" w:rsidTr="00ED7F17">
        <w:trPr>
          <w:trHeight w:val="315"/>
        </w:trPr>
        <w:tc>
          <w:tcPr>
            <w:tcW w:w="2641" w:type="dxa"/>
            <w:vMerge w:val="restart"/>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Территория</w:t>
            </w:r>
          </w:p>
        </w:tc>
        <w:tc>
          <w:tcPr>
            <w:tcW w:w="7243" w:type="dxa"/>
            <w:gridSpan w:val="10"/>
            <w:tcBorders>
              <w:top w:val="single" w:sz="4" w:space="0" w:color="000000"/>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Инфаркт мозга (I63)</w:t>
            </w:r>
          </w:p>
        </w:tc>
      </w:tr>
      <w:tr w:rsidR="00ED7F17" w:rsidTr="00ED7F17">
        <w:trPr>
          <w:trHeight w:val="315"/>
        </w:trPr>
        <w:tc>
          <w:tcPr>
            <w:tcW w:w="2641" w:type="dxa"/>
            <w:vMerge/>
            <w:tcBorders>
              <w:top w:val="single" w:sz="4" w:space="0" w:color="000000"/>
              <w:left w:val="single" w:sz="4"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1537" w:type="dxa"/>
            <w:gridSpan w:val="2"/>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2014</w:t>
            </w:r>
          </w:p>
        </w:tc>
        <w:tc>
          <w:tcPr>
            <w:tcW w:w="1620" w:type="dxa"/>
            <w:gridSpan w:val="2"/>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2015</w:t>
            </w:r>
          </w:p>
        </w:tc>
        <w:tc>
          <w:tcPr>
            <w:tcW w:w="1350" w:type="dxa"/>
            <w:gridSpan w:val="2"/>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2016</w:t>
            </w:r>
          </w:p>
        </w:tc>
        <w:tc>
          <w:tcPr>
            <w:tcW w:w="1350" w:type="dxa"/>
            <w:gridSpan w:val="2"/>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2017</w:t>
            </w:r>
          </w:p>
        </w:tc>
        <w:tc>
          <w:tcPr>
            <w:tcW w:w="1386" w:type="dxa"/>
            <w:gridSpan w:val="2"/>
            <w:tcBorders>
              <w:top w:val="single" w:sz="4" w:space="0" w:color="000000"/>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2018</w:t>
            </w:r>
          </w:p>
        </w:tc>
      </w:tr>
      <w:tr w:rsidR="00ED7F17" w:rsidTr="00ED7F17">
        <w:trPr>
          <w:trHeight w:val="480"/>
        </w:trPr>
        <w:tc>
          <w:tcPr>
            <w:tcW w:w="2641" w:type="dxa"/>
            <w:vMerge/>
            <w:tcBorders>
              <w:top w:val="single" w:sz="4" w:space="0" w:color="000000"/>
              <w:left w:val="single" w:sz="4"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87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c>
          <w:tcPr>
            <w:tcW w:w="64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c>
          <w:tcPr>
            <w:tcW w:w="64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c>
          <w:tcPr>
            <w:tcW w:w="64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738" w:type="dxa"/>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Ахтубинский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54</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108,1</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54</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108,1</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36</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73,1</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36</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74,3</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29</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59,8</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Володарский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30</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62,4</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25</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52,0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42,0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19</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19</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40,4</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Енотаевский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16</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61,5</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27</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103,8</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21</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81,2</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32</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124,1</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78,7</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Икрянинский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35</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72,8</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37</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76,9</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32</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67,1</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27</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56,7</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36</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76,1</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Камызякский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54</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111,9</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70</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145,1</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41</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85,7</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54</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113,5</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36</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76,5</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Красноярский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19</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51,6</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22</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59,8</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18</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48,7</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15</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40,2</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26</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70,2</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Лиманский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13</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41,5</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38,3</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22,5</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22,8</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17</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56,2</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Наримановский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27</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56,6</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27</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56,6</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30</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62,9</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38</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79,2</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30</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62,3</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Приволжский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25</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51,6</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29</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59,8</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23</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46,5</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33</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65,6</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23</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45,0</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Харабалинский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32</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78,3</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21</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51,4</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31,8</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34,3</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16</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39,5</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Черноярский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7</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35,6</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16</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81,4</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20,6</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46,5</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20,9</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г.Знаменск</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32</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98,7</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30,8</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31,0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27</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84,6</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19</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60,0</w:t>
            </w:r>
          </w:p>
        </w:tc>
      </w:tr>
      <w:tr w:rsidR="00ED7F17" w:rsidTr="00ED7F17">
        <w:trPr>
          <w:trHeight w:val="315"/>
        </w:trPr>
        <w:tc>
          <w:tcPr>
            <w:tcW w:w="2641"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bCs/>
                <w:color w:val="000000"/>
                <w:lang w:eastAsia="ru-RU"/>
              </w:rPr>
              <w:t>г. Астрахань</w:t>
            </w:r>
          </w:p>
        </w:tc>
        <w:tc>
          <w:tcPr>
            <w:tcW w:w="788" w:type="dxa"/>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486</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91,2</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482</w:t>
            </w:r>
          </w:p>
        </w:tc>
        <w:tc>
          <w:tcPr>
            <w:tcW w:w="871"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90,5</w:t>
            </w:r>
          </w:p>
        </w:tc>
        <w:tc>
          <w:tcPr>
            <w:tcW w:w="648"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396</w:t>
            </w:r>
          </w:p>
        </w:tc>
        <w:tc>
          <w:tcPr>
            <w:tcW w:w="702"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74,5</w:t>
            </w:r>
          </w:p>
        </w:tc>
        <w:tc>
          <w:tcPr>
            <w:tcW w:w="648"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337</w:t>
            </w:r>
          </w:p>
        </w:tc>
        <w:tc>
          <w:tcPr>
            <w:tcW w:w="702"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63,3</w:t>
            </w:r>
          </w:p>
        </w:tc>
        <w:tc>
          <w:tcPr>
            <w:tcW w:w="648"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378</w:t>
            </w:r>
          </w:p>
        </w:tc>
        <w:tc>
          <w:tcPr>
            <w:tcW w:w="738" w:type="dxa"/>
            <w:tcBorders>
              <w:top w:val="single" w:sz="4" w:space="0" w:color="000000"/>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70,8</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b/>
                <w:bCs/>
                <w:color w:val="000000"/>
                <w:lang w:eastAsia="ru-RU"/>
              </w:rPr>
              <w:t>Свод по АО</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830</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82,0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832</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81,2</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651</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64,3</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648</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63,5</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653</w:t>
            </w:r>
          </w:p>
        </w:tc>
        <w:tc>
          <w:tcPr>
            <w:tcW w:w="738"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64,2</w:t>
            </w:r>
          </w:p>
        </w:tc>
      </w:tr>
    </w:tbl>
    <w:p w:rsidR="00ED7F17" w:rsidRDefault="00ED7F17" w:rsidP="00ED7F17">
      <w:pPr>
        <w:shd w:val="clear" w:color="auto" w:fill="FFFFFF"/>
        <w:suppressAutoHyphens w:val="0"/>
        <w:ind w:firstLine="697"/>
        <w:jc w:val="both"/>
        <w:rPr>
          <w:rFonts w:eastAsia="Arial"/>
          <w:color w:val="auto"/>
          <w:lang w:eastAsia="ru-RU"/>
        </w:rPr>
      </w:pPr>
    </w:p>
    <w:p w:rsidR="00ED7F17" w:rsidRDefault="00ED7F17" w:rsidP="00ED7F17">
      <w:pPr>
        <w:shd w:val="clear" w:color="auto" w:fill="FFFFFF"/>
        <w:suppressAutoHyphens w:val="0"/>
        <w:ind w:firstLine="697"/>
        <w:jc w:val="both"/>
        <w:rPr>
          <w:rFonts w:ascii="Arial" w:hAnsi="Arial" w:cs="Arial"/>
          <w:sz w:val="22"/>
          <w:szCs w:val="22"/>
        </w:rPr>
      </w:pPr>
      <w:r>
        <w:rPr>
          <w:color w:val="auto"/>
          <w:lang w:eastAsia="ru-RU"/>
        </w:rPr>
        <w:t xml:space="preserve">Случаи смерти от геморрагического инсульта в 2018 составили 35,7% среди всех умерших ОНМК, смертность при этом составила 35,6 на 100 тысяч (363 человека), что на 6,6% превышает показатель 2017 года – 33,4 на 100 тысяч (340 человек), но при этом на 5,6% ниже уровня аналогичного показателя 2014 года - 37,7 на 100 тысяч или  389 человек. </w:t>
      </w:r>
    </w:p>
    <w:p w:rsidR="00ED7F17" w:rsidRDefault="00ED7F17" w:rsidP="00ED7F17">
      <w:pPr>
        <w:tabs>
          <w:tab w:val="left" w:pos="2694"/>
        </w:tabs>
        <w:suppressAutoHyphens w:val="0"/>
        <w:ind w:firstLine="709"/>
        <w:jc w:val="both"/>
      </w:pPr>
      <w:r>
        <w:rPr>
          <w:color w:val="000000"/>
        </w:rPr>
        <w:t>Самый высокий показатель смертности от геморрагического инсульта зарегистрирован в Лиманском районе – 320,7 на 100 тыс. населения, самый низкий – в Володарском районе – 44,6 на 100 тыс. населения. Снижение показателя в сравнении с 2014 годом отмечается в Ахтубинском, Володарском, Икрянинском, Наримановском районах области, в ЗАТО Знаменск и г. Астрахани. Наибольшее снижение показателя отмечается в Икрянинском районе – на 44,1% (с 41,6 до 23,2 на 100 тыс. населения). Рост показателя наблюдается в Енотаевском, Камызякском, Красноярском, Лиманском, Наримановском, Приволжском, Харабалинском, Черноярском районах. Наибольший рост показателя наблюдается в Красноярском районе на 61,3% (с 21,7 до 35,1 на 100 тыс. населения). Следует отметить, что в Черноярском районе, несмотря на рост показателя, его значения на протяжении всех 5 лет регистрировались на уровне ниже среднеобластного показателя.</w:t>
      </w:r>
    </w:p>
    <w:p w:rsidR="00ED7F17" w:rsidRDefault="00ED7F17" w:rsidP="00ED7F17">
      <w:pPr>
        <w:shd w:val="clear" w:color="auto" w:fill="FFFFFF"/>
        <w:suppressAutoHyphens w:val="0"/>
        <w:ind w:firstLine="697"/>
        <w:jc w:val="both"/>
        <w:rPr>
          <w:color w:val="auto"/>
          <w:lang w:eastAsia="ru-RU"/>
        </w:rPr>
      </w:pPr>
    </w:p>
    <w:tbl>
      <w:tblPr>
        <w:tblW w:w="0" w:type="auto"/>
        <w:tblInd w:w="-15" w:type="dxa"/>
        <w:tblLayout w:type="fixed"/>
        <w:tblLook w:val="04A0" w:firstRow="1" w:lastRow="0" w:firstColumn="1" w:lastColumn="0" w:noHBand="0" w:noVBand="1"/>
      </w:tblPr>
      <w:tblGrid>
        <w:gridCol w:w="2637"/>
        <w:gridCol w:w="1054"/>
        <w:gridCol w:w="1045"/>
        <w:gridCol w:w="745"/>
        <w:gridCol w:w="948"/>
        <w:gridCol w:w="542"/>
        <w:gridCol w:w="599"/>
        <w:gridCol w:w="542"/>
        <w:gridCol w:w="599"/>
        <w:gridCol w:w="542"/>
        <w:gridCol w:w="601"/>
        <w:gridCol w:w="30"/>
      </w:tblGrid>
      <w:tr w:rsidR="00ED7F17" w:rsidTr="00ED7F17">
        <w:trPr>
          <w:gridAfter w:val="1"/>
          <w:wAfter w:w="30" w:type="dxa"/>
          <w:trHeight w:val="315"/>
        </w:trPr>
        <w:tc>
          <w:tcPr>
            <w:tcW w:w="2637" w:type="dxa"/>
            <w:vMerge w:val="restart"/>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Территория</w:t>
            </w:r>
          </w:p>
        </w:tc>
        <w:tc>
          <w:tcPr>
            <w:tcW w:w="7217" w:type="dxa"/>
            <w:gridSpan w:val="10"/>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Геморрагический инсульт</w:t>
            </w:r>
          </w:p>
        </w:tc>
      </w:tr>
      <w:tr w:rsidR="00ED7F17" w:rsidTr="00ED7F17">
        <w:trPr>
          <w:trHeight w:val="315"/>
        </w:trPr>
        <w:tc>
          <w:tcPr>
            <w:tcW w:w="2637" w:type="dxa"/>
            <w:vMerge/>
            <w:tcBorders>
              <w:top w:val="single" w:sz="4" w:space="0" w:color="000000"/>
              <w:left w:val="single" w:sz="4"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2099" w:type="dxa"/>
            <w:gridSpan w:val="2"/>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2014</w:t>
            </w:r>
          </w:p>
        </w:tc>
        <w:tc>
          <w:tcPr>
            <w:tcW w:w="1693" w:type="dxa"/>
            <w:gridSpan w:val="2"/>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2015</w:t>
            </w:r>
          </w:p>
        </w:tc>
        <w:tc>
          <w:tcPr>
            <w:tcW w:w="1141" w:type="dxa"/>
            <w:gridSpan w:val="2"/>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2016</w:t>
            </w:r>
          </w:p>
        </w:tc>
        <w:tc>
          <w:tcPr>
            <w:tcW w:w="1141" w:type="dxa"/>
            <w:gridSpan w:val="2"/>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2017</w:t>
            </w:r>
          </w:p>
        </w:tc>
        <w:tc>
          <w:tcPr>
            <w:tcW w:w="1173" w:type="dxa"/>
            <w:gridSpan w:val="3"/>
            <w:tcBorders>
              <w:top w:val="single" w:sz="4" w:space="0" w:color="000000"/>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2018</w:t>
            </w:r>
          </w:p>
        </w:tc>
      </w:tr>
      <w:tr w:rsidR="00ED7F17" w:rsidTr="00ED7F17">
        <w:trPr>
          <w:trHeight w:val="480"/>
        </w:trPr>
        <w:tc>
          <w:tcPr>
            <w:tcW w:w="2637" w:type="dxa"/>
            <w:vMerge/>
            <w:tcBorders>
              <w:top w:val="single" w:sz="4" w:space="0" w:color="000000"/>
              <w:left w:val="single" w:sz="4"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1054"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10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94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c>
          <w:tcPr>
            <w:tcW w:w="54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59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c>
          <w:tcPr>
            <w:tcW w:w="54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59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c>
          <w:tcPr>
            <w:tcW w:w="54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631"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r>
      <w:tr w:rsidR="00ED7F17" w:rsidTr="00ED7F17">
        <w:trPr>
          <w:trHeight w:val="315"/>
        </w:trPr>
        <w:tc>
          <w:tcPr>
            <w:tcW w:w="2637"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Ахтубинский район</w:t>
            </w:r>
          </w:p>
        </w:tc>
        <w:tc>
          <w:tcPr>
            <w:tcW w:w="1054"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28</w:t>
            </w:r>
          </w:p>
        </w:tc>
        <w:tc>
          <w:tcPr>
            <w:tcW w:w="10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56,0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24</w:t>
            </w:r>
          </w:p>
        </w:tc>
        <w:tc>
          <w:tcPr>
            <w:tcW w:w="9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48,0</w:t>
            </w:r>
          </w:p>
        </w:tc>
        <w:tc>
          <w:tcPr>
            <w:tcW w:w="54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23</w:t>
            </w:r>
          </w:p>
        </w:tc>
        <w:tc>
          <w:tcPr>
            <w:tcW w:w="59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46,7</w:t>
            </w:r>
          </w:p>
        </w:tc>
        <w:tc>
          <w:tcPr>
            <w:tcW w:w="54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w:t>
            </w:r>
          </w:p>
        </w:tc>
        <w:tc>
          <w:tcPr>
            <w:tcW w:w="59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20,6</w:t>
            </w:r>
          </w:p>
        </w:tc>
        <w:tc>
          <w:tcPr>
            <w:tcW w:w="54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16</w:t>
            </w:r>
          </w:p>
        </w:tc>
        <w:tc>
          <w:tcPr>
            <w:tcW w:w="631"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33,0</w:t>
            </w:r>
          </w:p>
        </w:tc>
      </w:tr>
      <w:tr w:rsidR="00ED7F17" w:rsidTr="00ED7F17">
        <w:trPr>
          <w:trHeight w:val="315"/>
        </w:trPr>
        <w:tc>
          <w:tcPr>
            <w:tcW w:w="2637"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Володарский район</w:t>
            </w:r>
          </w:p>
        </w:tc>
        <w:tc>
          <w:tcPr>
            <w:tcW w:w="1054"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22</w:t>
            </w:r>
          </w:p>
        </w:tc>
        <w:tc>
          <w:tcPr>
            <w:tcW w:w="10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45,8</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17</w:t>
            </w:r>
          </w:p>
        </w:tc>
        <w:tc>
          <w:tcPr>
            <w:tcW w:w="9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35,4</w:t>
            </w:r>
          </w:p>
        </w:tc>
        <w:tc>
          <w:tcPr>
            <w:tcW w:w="54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18</w:t>
            </w:r>
          </w:p>
        </w:tc>
        <w:tc>
          <w:tcPr>
            <w:tcW w:w="59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37,8</w:t>
            </w:r>
          </w:p>
        </w:tc>
        <w:tc>
          <w:tcPr>
            <w:tcW w:w="54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16</w:t>
            </w:r>
          </w:p>
        </w:tc>
        <w:tc>
          <w:tcPr>
            <w:tcW w:w="59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33,7</w:t>
            </w:r>
          </w:p>
        </w:tc>
        <w:tc>
          <w:tcPr>
            <w:tcW w:w="54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21</w:t>
            </w:r>
          </w:p>
        </w:tc>
        <w:tc>
          <w:tcPr>
            <w:tcW w:w="631"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44,6</w:t>
            </w:r>
          </w:p>
        </w:tc>
      </w:tr>
      <w:tr w:rsidR="00ED7F17" w:rsidTr="00ED7F17">
        <w:trPr>
          <w:trHeight w:val="315"/>
        </w:trPr>
        <w:tc>
          <w:tcPr>
            <w:tcW w:w="2637"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Енотаевский район</w:t>
            </w:r>
          </w:p>
        </w:tc>
        <w:tc>
          <w:tcPr>
            <w:tcW w:w="1054"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8</w:t>
            </w:r>
          </w:p>
        </w:tc>
        <w:tc>
          <w:tcPr>
            <w:tcW w:w="10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30,8</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23</w:t>
            </w:r>
          </w:p>
        </w:tc>
        <w:tc>
          <w:tcPr>
            <w:tcW w:w="9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88,4</w:t>
            </w:r>
          </w:p>
        </w:tc>
        <w:tc>
          <w:tcPr>
            <w:tcW w:w="54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w:t>
            </w:r>
          </w:p>
        </w:tc>
        <w:tc>
          <w:tcPr>
            <w:tcW w:w="59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46,4</w:t>
            </w:r>
          </w:p>
        </w:tc>
        <w:tc>
          <w:tcPr>
            <w:tcW w:w="54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w:t>
            </w:r>
          </w:p>
        </w:tc>
        <w:tc>
          <w:tcPr>
            <w:tcW w:w="59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19,4</w:t>
            </w:r>
          </w:p>
        </w:tc>
        <w:tc>
          <w:tcPr>
            <w:tcW w:w="54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w:t>
            </w:r>
          </w:p>
        </w:tc>
        <w:tc>
          <w:tcPr>
            <w:tcW w:w="631"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39,4</w:t>
            </w:r>
          </w:p>
        </w:tc>
      </w:tr>
      <w:tr w:rsidR="00ED7F17" w:rsidTr="00ED7F17">
        <w:trPr>
          <w:trHeight w:val="315"/>
        </w:trPr>
        <w:tc>
          <w:tcPr>
            <w:tcW w:w="2637"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Икрянинский район</w:t>
            </w:r>
          </w:p>
        </w:tc>
        <w:tc>
          <w:tcPr>
            <w:tcW w:w="1054"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20</w:t>
            </w:r>
          </w:p>
        </w:tc>
        <w:tc>
          <w:tcPr>
            <w:tcW w:w="10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41,6</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18</w:t>
            </w:r>
          </w:p>
        </w:tc>
        <w:tc>
          <w:tcPr>
            <w:tcW w:w="9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37,4</w:t>
            </w:r>
          </w:p>
        </w:tc>
        <w:tc>
          <w:tcPr>
            <w:tcW w:w="54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26</w:t>
            </w:r>
          </w:p>
        </w:tc>
        <w:tc>
          <w:tcPr>
            <w:tcW w:w="59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54,5</w:t>
            </w:r>
          </w:p>
        </w:tc>
        <w:tc>
          <w:tcPr>
            <w:tcW w:w="54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21</w:t>
            </w:r>
          </w:p>
        </w:tc>
        <w:tc>
          <w:tcPr>
            <w:tcW w:w="59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44,1</w:t>
            </w:r>
          </w:p>
        </w:tc>
        <w:tc>
          <w:tcPr>
            <w:tcW w:w="54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w:t>
            </w:r>
          </w:p>
        </w:tc>
        <w:tc>
          <w:tcPr>
            <w:tcW w:w="631"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23,2</w:t>
            </w:r>
          </w:p>
        </w:tc>
      </w:tr>
      <w:tr w:rsidR="00ED7F17" w:rsidTr="00ED7F17">
        <w:trPr>
          <w:trHeight w:val="315"/>
        </w:trPr>
        <w:tc>
          <w:tcPr>
            <w:tcW w:w="2637"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Камызякский район</w:t>
            </w:r>
          </w:p>
        </w:tc>
        <w:tc>
          <w:tcPr>
            <w:tcW w:w="1054"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23</w:t>
            </w:r>
          </w:p>
        </w:tc>
        <w:tc>
          <w:tcPr>
            <w:tcW w:w="10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47,7</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30</w:t>
            </w:r>
          </w:p>
        </w:tc>
        <w:tc>
          <w:tcPr>
            <w:tcW w:w="9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62,2</w:t>
            </w:r>
          </w:p>
        </w:tc>
        <w:tc>
          <w:tcPr>
            <w:tcW w:w="54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26</w:t>
            </w:r>
          </w:p>
        </w:tc>
        <w:tc>
          <w:tcPr>
            <w:tcW w:w="59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54,4</w:t>
            </w:r>
          </w:p>
        </w:tc>
        <w:tc>
          <w:tcPr>
            <w:tcW w:w="54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19</w:t>
            </w:r>
          </w:p>
        </w:tc>
        <w:tc>
          <w:tcPr>
            <w:tcW w:w="59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39,9</w:t>
            </w:r>
          </w:p>
        </w:tc>
        <w:tc>
          <w:tcPr>
            <w:tcW w:w="54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26</w:t>
            </w:r>
          </w:p>
        </w:tc>
        <w:tc>
          <w:tcPr>
            <w:tcW w:w="631"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55,3</w:t>
            </w:r>
          </w:p>
        </w:tc>
      </w:tr>
      <w:tr w:rsidR="00ED7F17" w:rsidTr="00ED7F17">
        <w:trPr>
          <w:trHeight w:val="315"/>
        </w:trPr>
        <w:tc>
          <w:tcPr>
            <w:tcW w:w="2637"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Красноярский район</w:t>
            </w:r>
          </w:p>
        </w:tc>
        <w:tc>
          <w:tcPr>
            <w:tcW w:w="1054"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8</w:t>
            </w:r>
          </w:p>
        </w:tc>
        <w:tc>
          <w:tcPr>
            <w:tcW w:w="10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21,7</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w:t>
            </w:r>
          </w:p>
        </w:tc>
        <w:tc>
          <w:tcPr>
            <w:tcW w:w="9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38,1</w:t>
            </w:r>
          </w:p>
        </w:tc>
        <w:tc>
          <w:tcPr>
            <w:tcW w:w="54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w:t>
            </w:r>
          </w:p>
        </w:tc>
        <w:tc>
          <w:tcPr>
            <w:tcW w:w="59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29,8</w:t>
            </w:r>
          </w:p>
        </w:tc>
        <w:tc>
          <w:tcPr>
            <w:tcW w:w="54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w:t>
            </w:r>
          </w:p>
        </w:tc>
        <w:tc>
          <w:tcPr>
            <w:tcW w:w="59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29,5</w:t>
            </w:r>
          </w:p>
        </w:tc>
        <w:tc>
          <w:tcPr>
            <w:tcW w:w="54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w:t>
            </w:r>
          </w:p>
        </w:tc>
        <w:tc>
          <w:tcPr>
            <w:tcW w:w="631"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35,1</w:t>
            </w:r>
          </w:p>
        </w:tc>
      </w:tr>
      <w:tr w:rsidR="00ED7F17" w:rsidTr="00ED7F17">
        <w:trPr>
          <w:trHeight w:val="315"/>
        </w:trPr>
        <w:tc>
          <w:tcPr>
            <w:tcW w:w="2637"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Лиманский район</w:t>
            </w:r>
          </w:p>
        </w:tc>
        <w:tc>
          <w:tcPr>
            <w:tcW w:w="1054"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8</w:t>
            </w:r>
          </w:p>
        </w:tc>
        <w:tc>
          <w:tcPr>
            <w:tcW w:w="10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25,6</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w:t>
            </w:r>
          </w:p>
        </w:tc>
        <w:tc>
          <w:tcPr>
            <w:tcW w:w="9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19,2</w:t>
            </w:r>
          </w:p>
        </w:tc>
        <w:tc>
          <w:tcPr>
            <w:tcW w:w="54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w:t>
            </w:r>
          </w:p>
        </w:tc>
        <w:tc>
          <w:tcPr>
            <w:tcW w:w="59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16,0</w:t>
            </w:r>
          </w:p>
        </w:tc>
        <w:tc>
          <w:tcPr>
            <w:tcW w:w="54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w:t>
            </w:r>
          </w:p>
        </w:tc>
        <w:tc>
          <w:tcPr>
            <w:tcW w:w="59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39,1</w:t>
            </w:r>
          </w:p>
        </w:tc>
        <w:tc>
          <w:tcPr>
            <w:tcW w:w="54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w:t>
            </w:r>
          </w:p>
        </w:tc>
        <w:tc>
          <w:tcPr>
            <w:tcW w:w="631"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33,1</w:t>
            </w:r>
          </w:p>
        </w:tc>
      </w:tr>
      <w:tr w:rsidR="00ED7F17" w:rsidTr="00ED7F17">
        <w:trPr>
          <w:trHeight w:val="315"/>
        </w:trPr>
        <w:tc>
          <w:tcPr>
            <w:tcW w:w="2637"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Наримановский район</w:t>
            </w:r>
          </w:p>
        </w:tc>
        <w:tc>
          <w:tcPr>
            <w:tcW w:w="1054"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21</w:t>
            </w:r>
          </w:p>
        </w:tc>
        <w:tc>
          <w:tcPr>
            <w:tcW w:w="10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44,0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w:t>
            </w:r>
          </w:p>
        </w:tc>
        <w:tc>
          <w:tcPr>
            <w:tcW w:w="9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27,2</w:t>
            </w:r>
          </w:p>
        </w:tc>
        <w:tc>
          <w:tcPr>
            <w:tcW w:w="54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29</w:t>
            </w:r>
          </w:p>
        </w:tc>
        <w:tc>
          <w:tcPr>
            <w:tcW w:w="59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60,8</w:t>
            </w:r>
          </w:p>
        </w:tc>
        <w:tc>
          <w:tcPr>
            <w:tcW w:w="54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21</w:t>
            </w:r>
          </w:p>
        </w:tc>
        <w:tc>
          <w:tcPr>
            <w:tcW w:w="59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43,8</w:t>
            </w:r>
          </w:p>
        </w:tc>
        <w:tc>
          <w:tcPr>
            <w:tcW w:w="54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w:t>
            </w:r>
          </w:p>
        </w:tc>
        <w:tc>
          <w:tcPr>
            <w:tcW w:w="631"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41,5</w:t>
            </w:r>
          </w:p>
        </w:tc>
      </w:tr>
      <w:tr w:rsidR="00ED7F17" w:rsidTr="00ED7F17">
        <w:trPr>
          <w:trHeight w:val="315"/>
        </w:trPr>
        <w:tc>
          <w:tcPr>
            <w:tcW w:w="2637"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Приволжский район</w:t>
            </w:r>
          </w:p>
        </w:tc>
        <w:tc>
          <w:tcPr>
            <w:tcW w:w="1054"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17</w:t>
            </w:r>
          </w:p>
        </w:tc>
        <w:tc>
          <w:tcPr>
            <w:tcW w:w="10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35,1</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17</w:t>
            </w:r>
          </w:p>
        </w:tc>
        <w:tc>
          <w:tcPr>
            <w:tcW w:w="9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35,1</w:t>
            </w:r>
          </w:p>
        </w:tc>
        <w:tc>
          <w:tcPr>
            <w:tcW w:w="54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22</w:t>
            </w:r>
          </w:p>
        </w:tc>
        <w:tc>
          <w:tcPr>
            <w:tcW w:w="59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44,5</w:t>
            </w:r>
          </w:p>
        </w:tc>
        <w:tc>
          <w:tcPr>
            <w:tcW w:w="54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w:t>
            </w:r>
          </w:p>
        </w:tc>
        <w:tc>
          <w:tcPr>
            <w:tcW w:w="59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23,9</w:t>
            </w:r>
          </w:p>
        </w:tc>
        <w:tc>
          <w:tcPr>
            <w:tcW w:w="54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21</w:t>
            </w:r>
          </w:p>
        </w:tc>
        <w:tc>
          <w:tcPr>
            <w:tcW w:w="631"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41,1</w:t>
            </w:r>
          </w:p>
        </w:tc>
      </w:tr>
      <w:tr w:rsidR="00ED7F17" w:rsidTr="00ED7F17">
        <w:trPr>
          <w:trHeight w:val="315"/>
        </w:trPr>
        <w:tc>
          <w:tcPr>
            <w:tcW w:w="2637"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Харабалинский район</w:t>
            </w:r>
          </w:p>
        </w:tc>
        <w:tc>
          <w:tcPr>
            <w:tcW w:w="1054"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11</w:t>
            </w:r>
          </w:p>
        </w:tc>
        <w:tc>
          <w:tcPr>
            <w:tcW w:w="10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26,9</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17</w:t>
            </w:r>
          </w:p>
        </w:tc>
        <w:tc>
          <w:tcPr>
            <w:tcW w:w="9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41,6</w:t>
            </w:r>
          </w:p>
        </w:tc>
        <w:tc>
          <w:tcPr>
            <w:tcW w:w="54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16</w:t>
            </w:r>
          </w:p>
        </w:tc>
        <w:tc>
          <w:tcPr>
            <w:tcW w:w="59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39,2</w:t>
            </w:r>
          </w:p>
        </w:tc>
        <w:tc>
          <w:tcPr>
            <w:tcW w:w="54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18</w:t>
            </w:r>
          </w:p>
        </w:tc>
        <w:tc>
          <w:tcPr>
            <w:tcW w:w="59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44,2</w:t>
            </w:r>
          </w:p>
        </w:tc>
        <w:tc>
          <w:tcPr>
            <w:tcW w:w="54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w:t>
            </w:r>
          </w:p>
        </w:tc>
        <w:tc>
          <w:tcPr>
            <w:tcW w:w="631"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34,6</w:t>
            </w:r>
          </w:p>
        </w:tc>
      </w:tr>
      <w:tr w:rsidR="00ED7F17" w:rsidTr="00ED7F17">
        <w:trPr>
          <w:trHeight w:val="315"/>
        </w:trPr>
        <w:tc>
          <w:tcPr>
            <w:tcW w:w="2637"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Черноярский район</w:t>
            </w:r>
          </w:p>
        </w:tc>
        <w:tc>
          <w:tcPr>
            <w:tcW w:w="1054"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w:t>
            </w:r>
          </w:p>
        </w:tc>
        <w:tc>
          <w:tcPr>
            <w:tcW w:w="10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15,3</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w:t>
            </w:r>
          </w:p>
        </w:tc>
        <w:tc>
          <w:tcPr>
            <w:tcW w:w="9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35,6</w:t>
            </w:r>
          </w:p>
        </w:tc>
        <w:tc>
          <w:tcPr>
            <w:tcW w:w="54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w:t>
            </w:r>
          </w:p>
        </w:tc>
        <w:tc>
          <w:tcPr>
            <w:tcW w:w="59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20,6</w:t>
            </w:r>
          </w:p>
        </w:tc>
        <w:tc>
          <w:tcPr>
            <w:tcW w:w="54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w:t>
            </w:r>
          </w:p>
        </w:tc>
        <w:tc>
          <w:tcPr>
            <w:tcW w:w="59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20,7</w:t>
            </w:r>
          </w:p>
        </w:tc>
        <w:tc>
          <w:tcPr>
            <w:tcW w:w="54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w:t>
            </w:r>
          </w:p>
        </w:tc>
        <w:tc>
          <w:tcPr>
            <w:tcW w:w="631"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20,9</w:t>
            </w:r>
          </w:p>
        </w:tc>
      </w:tr>
      <w:tr w:rsidR="00ED7F17" w:rsidTr="00ED7F17">
        <w:trPr>
          <w:trHeight w:val="315"/>
        </w:trPr>
        <w:tc>
          <w:tcPr>
            <w:tcW w:w="2637"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г.Знаменск</w:t>
            </w:r>
          </w:p>
        </w:tc>
        <w:tc>
          <w:tcPr>
            <w:tcW w:w="1054"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9</w:t>
            </w:r>
          </w:p>
        </w:tc>
        <w:tc>
          <w:tcPr>
            <w:tcW w:w="10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27,8</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w:t>
            </w:r>
          </w:p>
        </w:tc>
        <w:tc>
          <w:tcPr>
            <w:tcW w:w="9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24,7</w:t>
            </w:r>
          </w:p>
        </w:tc>
        <w:tc>
          <w:tcPr>
            <w:tcW w:w="54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w:t>
            </w:r>
          </w:p>
        </w:tc>
        <w:tc>
          <w:tcPr>
            <w:tcW w:w="59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24,8</w:t>
            </w:r>
          </w:p>
        </w:tc>
        <w:tc>
          <w:tcPr>
            <w:tcW w:w="54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w:t>
            </w:r>
          </w:p>
        </w:tc>
        <w:tc>
          <w:tcPr>
            <w:tcW w:w="59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18,8</w:t>
            </w:r>
          </w:p>
        </w:tc>
        <w:tc>
          <w:tcPr>
            <w:tcW w:w="54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w:t>
            </w:r>
          </w:p>
        </w:tc>
        <w:tc>
          <w:tcPr>
            <w:tcW w:w="631"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22,1</w:t>
            </w:r>
          </w:p>
        </w:tc>
      </w:tr>
      <w:tr w:rsidR="00ED7F17" w:rsidTr="00ED7F17">
        <w:trPr>
          <w:trHeight w:val="315"/>
        </w:trPr>
        <w:tc>
          <w:tcPr>
            <w:tcW w:w="2637"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bCs/>
                <w:color w:val="000000"/>
                <w:lang w:eastAsia="ru-RU"/>
              </w:rPr>
              <w:t>г. Астрахань</w:t>
            </w:r>
          </w:p>
        </w:tc>
        <w:tc>
          <w:tcPr>
            <w:tcW w:w="1054" w:type="dxa"/>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211</w:t>
            </w:r>
          </w:p>
        </w:tc>
        <w:tc>
          <w:tcPr>
            <w:tcW w:w="10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39,6</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216</w:t>
            </w:r>
          </w:p>
        </w:tc>
        <w:tc>
          <w:tcPr>
            <w:tcW w:w="948"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40,5</w:t>
            </w:r>
          </w:p>
        </w:tc>
        <w:tc>
          <w:tcPr>
            <w:tcW w:w="542"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214</w:t>
            </w:r>
          </w:p>
        </w:tc>
        <w:tc>
          <w:tcPr>
            <w:tcW w:w="599"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40,2</w:t>
            </w:r>
          </w:p>
        </w:tc>
        <w:tc>
          <w:tcPr>
            <w:tcW w:w="542"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187</w:t>
            </w:r>
          </w:p>
        </w:tc>
        <w:tc>
          <w:tcPr>
            <w:tcW w:w="599"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35,1</w:t>
            </w:r>
          </w:p>
        </w:tc>
        <w:tc>
          <w:tcPr>
            <w:tcW w:w="542"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190</w:t>
            </w:r>
          </w:p>
        </w:tc>
        <w:tc>
          <w:tcPr>
            <w:tcW w:w="631" w:type="dxa"/>
            <w:gridSpan w:val="2"/>
            <w:tcBorders>
              <w:top w:val="single" w:sz="4" w:space="0" w:color="000000"/>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35,6</w:t>
            </w:r>
          </w:p>
        </w:tc>
      </w:tr>
      <w:tr w:rsidR="00ED7F17" w:rsidTr="00ED7F17">
        <w:trPr>
          <w:trHeight w:val="315"/>
        </w:trPr>
        <w:tc>
          <w:tcPr>
            <w:tcW w:w="2637"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b/>
                <w:bCs/>
                <w:color w:val="000000"/>
                <w:lang w:eastAsia="ru-RU"/>
              </w:rPr>
              <w:t>Свод по АО</w:t>
            </w:r>
          </w:p>
        </w:tc>
        <w:tc>
          <w:tcPr>
            <w:tcW w:w="1054"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389</w:t>
            </w:r>
          </w:p>
        </w:tc>
        <w:tc>
          <w:tcPr>
            <w:tcW w:w="10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35,8</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410</w:t>
            </w:r>
          </w:p>
        </w:tc>
        <w:tc>
          <w:tcPr>
            <w:tcW w:w="9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37,8</w:t>
            </w:r>
          </w:p>
        </w:tc>
        <w:tc>
          <w:tcPr>
            <w:tcW w:w="54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414</w:t>
            </w:r>
          </w:p>
        </w:tc>
        <w:tc>
          <w:tcPr>
            <w:tcW w:w="59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37,7</w:t>
            </w:r>
          </w:p>
        </w:tc>
        <w:tc>
          <w:tcPr>
            <w:tcW w:w="54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343</w:t>
            </w:r>
          </w:p>
        </w:tc>
        <w:tc>
          <w:tcPr>
            <w:tcW w:w="59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30,1</w:t>
            </w:r>
          </w:p>
        </w:tc>
        <w:tc>
          <w:tcPr>
            <w:tcW w:w="54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363</w:t>
            </w:r>
          </w:p>
        </w:tc>
        <w:tc>
          <w:tcPr>
            <w:tcW w:w="631"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35,7</w:t>
            </w:r>
          </w:p>
        </w:tc>
      </w:tr>
    </w:tbl>
    <w:p w:rsidR="00ED7F17" w:rsidRDefault="00ED7F17" w:rsidP="00ED7F17">
      <w:pPr>
        <w:shd w:val="clear" w:color="auto" w:fill="FFFFFF"/>
        <w:suppressAutoHyphens w:val="0"/>
        <w:ind w:firstLine="697"/>
        <w:jc w:val="both"/>
        <w:rPr>
          <w:rFonts w:eastAsia="Arial"/>
          <w:color w:val="auto"/>
          <w:lang w:eastAsia="ru-RU"/>
        </w:rPr>
      </w:pPr>
    </w:p>
    <w:p w:rsidR="00ED7F17" w:rsidRDefault="00ED7F17" w:rsidP="00ED7F17">
      <w:pPr>
        <w:shd w:val="clear" w:color="auto" w:fill="FFFFFF"/>
        <w:suppressAutoHyphens w:val="0"/>
        <w:ind w:firstLine="697"/>
        <w:jc w:val="both"/>
        <w:rPr>
          <w:rFonts w:ascii="Arial" w:hAnsi="Arial" w:cs="Arial"/>
          <w:sz w:val="22"/>
          <w:szCs w:val="22"/>
        </w:rPr>
      </w:pPr>
      <w:r>
        <w:rPr>
          <w:color w:val="auto"/>
          <w:lang w:eastAsia="ru-RU"/>
        </w:rPr>
        <w:t xml:space="preserve">На долю смертей от неуточненных инсультов в 2018 году приходится 0,1% (от числа умерших от ОНМК). Уровень смертности от неуточненных инсультов в 2018 году составил 0,1 на 100 тысяч (1 человек), что на 85% ниже показателя 2017 года - 0,7 на 100 тысяч (7 человек) и на 96,8% ниже уровня аналогичного показателя 2014 года  - 3,1 на 100 тысяч или 33 человека. </w:t>
      </w:r>
    </w:p>
    <w:p w:rsidR="00ED7F17" w:rsidRDefault="00ED7F17" w:rsidP="00ED7F17">
      <w:pPr>
        <w:shd w:val="clear" w:color="auto" w:fill="FFFFFF"/>
        <w:suppressAutoHyphens w:val="0"/>
        <w:ind w:firstLine="697"/>
        <w:jc w:val="both"/>
        <w:rPr>
          <w:color w:val="auto"/>
          <w:lang w:eastAsia="ru-RU"/>
        </w:rPr>
      </w:pPr>
    </w:p>
    <w:tbl>
      <w:tblPr>
        <w:tblW w:w="0" w:type="auto"/>
        <w:tblInd w:w="-15" w:type="dxa"/>
        <w:tblLayout w:type="fixed"/>
        <w:tblLook w:val="04A0" w:firstRow="1" w:lastRow="0" w:firstColumn="1" w:lastColumn="0" w:noHBand="0" w:noVBand="1"/>
      </w:tblPr>
      <w:tblGrid>
        <w:gridCol w:w="2641"/>
        <w:gridCol w:w="788"/>
        <w:gridCol w:w="749"/>
        <w:gridCol w:w="749"/>
        <w:gridCol w:w="871"/>
        <w:gridCol w:w="648"/>
        <w:gridCol w:w="702"/>
        <w:gridCol w:w="648"/>
        <w:gridCol w:w="702"/>
        <w:gridCol w:w="648"/>
        <w:gridCol w:w="708"/>
        <w:gridCol w:w="30"/>
      </w:tblGrid>
      <w:tr w:rsidR="00ED7F17" w:rsidTr="00ED7F17">
        <w:trPr>
          <w:gridAfter w:val="1"/>
          <w:wAfter w:w="30" w:type="dxa"/>
          <w:trHeight w:val="315"/>
        </w:trPr>
        <w:tc>
          <w:tcPr>
            <w:tcW w:w="2641" w:type="dxa"/>
            <w:vMerge w:val="restart"/>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Территория</w:t>
            </w:r>
          </w:p>
        </w:tc>
        <w:tc>
          <w:tcPr>
            <w:tcW w:w="7213" w:type="dxa"/>
            <w:gridSpan w:val="10"/>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Инсульт неуточненный как кровоизлияние или инфаркт (I64)</w:t>
            </w:r>
          </w:p>
        </w:tc>
      </w:tr>
      <w:tr w:rsidR="00ED7F17" w:rsidTr="00ED7F17">
        <w:trPr>
          <w:trHeight w:val="315"/>
        </w:trPr>
        <w:tc>
          <w:tcPr>
            <w:tcW w:w="2641" w:type="dxa"/>
            <w:vMerge/>
            <w:tcBorders>
              <w:top w:val="single" w:sz="4" w:space="0" w:color="000000"/>
              <w:left w:val="single" w:sz="4"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1537" w:type="dxa"/>
            <w:gridSpan w:val="2"/>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2014</w:t>
            </w:r>
          </w:p>
        </w:tc>
        <w:tc>
          <w:tcPr>
            <w:tcW w:w="1620" w:type="dxa"/>
            <w:gridSpan w:val="2"/>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2015</w:t>
            </w:r>
          </w:p>
        </w:tc>
        <w:tc>
          <w:tcPr>
            <w:tcW w:w="1350" w:type="dxa"/>
            <w:gridSpan w:val="2"/>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2016</w:t>
            </w:r>
          </w:p>
        </w:tc>
        <w:tc>
          <w:tcPr>
            <w:tcW w:w="1350" w:type="dxa"/>
            <w:gridSpan w:val="2"/>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2017</w:t>
            </w:r>
          </w:p>
        </w:tc>
        <w:tc>
          <w:tcPr>
            <w:tcW w:w="1386" w:type="dxa"/>
            <w:gridSpan w:val="3"/>
            <w:tcBorders>
              <w:top w:val="single" w:sz="4" w:space="0" w:color="000000"/>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lang w:eastAsia="ru-RU"/>
              </w:rPr>
              <w:t>2018</w:t>
            </w:r>
          </w:p>
        </w:tc>
      </w:tr>
      <w:tr w:rsidR="00ED7F17" w:rsidTr="00ED7F17">
        <w:trPr>
          <w:trHeight w:val="480"/>
        </w:trPr>
        <w:tc>
          <w:tcPr>
            <w:tcW w:w="2641" w:type="dxa"/>
            <w:vMerge/>
            <w:tcBorders>
              <w:top w:val="single" w:sz="4" w:space="0" w:color="000000"/>
              <w:left w:val="single" w:sz="4"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87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c>
          <w:tcPr>
            <w:tcW w:w="64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c>
          <w:tcPr>
            <w:tcW w:w="64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c>
          <w:tcPr>
            <w:tcW w:w="64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 xml:space="preserve">абс  </w:t>
            </w:r>
          </w:p>
        </w:tc>
        <w:tc>
          <w:tcPr>
            <w:tcW w:w="738"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18"/>
                <w:szCs w:val="18"/>
                <w:lang w:eastAsia="ru-RU"/>
              </w:rPr>
              <w:t>на 100 тыс. нас.</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Ахтубинский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8,0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38"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Володарский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38"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Енотаевский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3,8</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38"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Икрянинский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2,1</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38"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Камызякский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4,1</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38"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Красноярский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38"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Лиманский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38"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Наримановский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2,1</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38"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Приволжский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38"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Харабалинский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4,9</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38"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Черноярский район</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38"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color w:val="000000"/>
                <w:lang w:eastAsia="ru-RU"/>
              </w:rPr>
              <w:t>г.Знаменск</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 </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w:t>
            </w:r>
          </w:p>
        </w:tc>
        <w:tc>
          <w:tcPr>
            <w:tcW w:w="738"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3,2</w:t>
            </w:r>
          </w:p>
        </w:tc>
      </w:tr>
      <w:tr w:rsidR="00ED7F17" w:rsidTr="00ED7F17">
        <w:trPr>
          <w:trHeight w:val="315"/>
        </w:trPr>
        <w:tc>
          <w:tcPr>
            <w:tcW w:w="2641" w:type="dxa"/>
            <w:tcBorders>
              <w:top w:val="nil"/>
              <w:left w:val="single" w:sz="4" w:space="0" w:color="000000"/>
              <w:bottom w:val="nil"/>
              <w:right w:val="nil"/>
            </w:tcBorders>
            <w:vAlign w:val="bottom"/>
            <w:hideMark/>
          </w:tcPr>
          <w:p w:rsidR="00ED7F17" w:rsidRDefault="00ED7F17">
            <w:pPr>
              <w:suppressAutoHyphens w:val="0"/>
              <w:rPr>
                <w:rFonts w:ascii="Arial" w:eastAsia="Arial" w:hAnsi="Arial" w:cs="Arial"/>
                <w:sz w:val="22"/>
                <w:szCs w:val="22"/>
              </w:rPr>
            </w:pPr>
            <w:r>
              <w:rPr>
                <w:b/>
                <w:bCs/>
                <w:color w:val="000000"/>
                <w:lang w:eastAsia="ru-RU"/>
              </w:rPr>
              <w:t>Свод по районам</w:t>
            </w:r>
          </w:p>
        </w:tc>
        <w:tc>
          <w:tcPr>
            <w:tcW w:w="788" w:type="dxa"/>
            <w:tcBorders>
              <w:top w:val="nil"/>
              <w:left w:val="single" w:sz="4" w:space="0" w:color="000000"/>
              <w:bottom w:val="nil"/>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8</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1,6</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w:t>
            </w:r>
          </w:p>
        </w:tc>
        <w:tc>
          <w:tcPr>
            <w:tcW w:w="871" w:type="dxa"/>
            <w:tcBorders>
              <w:top w:val="nil"/>
              <w:left w:val="single" w:sz="4" w:space="0" w:color="000000"/>
              <w:bottom w:val="nil"/>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0,6</w:t>
            </w:r>
          </w:p>
        </w:tc>
        <w:tc>
          <w:tcPr>
            <w:tcW w:w="648" w:type="dxa"/>
            <w:tcBorders>
              <w:top w:val="nil"/>
              <w:left w:val="single" w:sz="4" w:space="0" w:color="000000"/>
              <w:bottom w:val="nil"/>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w:t>
            </w:r>
          </w:p>
        </w:tc>
        <w:tc>
          <w:tcPr>
            <w:tcW w:w="702" w:type="dxa"/>
            <w:tcBorders>
              <w:top w:val="nil"/>
              <w:left w:val="single" w:sz="4" w:space="0" w:color="000000"/>
              <w:bottom w:val="nil"/>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0,2</w:t>
            </w:r>
          </w:p>
        </w:tc>
        <w:tc>
          <w:tcPr>
            <w:tcW w:w="648" w:type="dxa"/>
            <w:tcBorders>
              <w:top w:val="nil"/>
              <w:left w:val="single" w:sz="4" w:space="0" w:color="000000"/>
              <w:bottom w:val="nil"/>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w:t>
            </w:r>
          </w:p>
        </w:tc>
        <w:tc>
          <w:tcPr>
            <w:tcW w:w="702" w:type="dxa"/>
            <w:tcBorders>
              <w:top w:val="nil"/>
              <w:left w:val="single" w:sz="4" w:space="0" w:color="000000"/>
              <w:bottom w:val="nil"/>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0,0</w:t>
            </w:r>
          </w:p>
        </w:tc>
        <w:tc>
          <w:tcPr>
            <w:tcW w:w="648" w:type="dxa"/>
            <w:tcBorders>
              <w:top w:val="nil"/>
              <w:left w:val="single" w:sz="4" w:space="0" w:color="000000"/>
              <w:bottom w:val="nil"/>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w:t>
            </w:r>
          </w:p>
        </w:tc>
        <w:tc>
          <w:tcPr>
            <w:tcW w:w="738" w:type="dxa"/>
            <w:gridSpan w:val="2"/>
            <w:tcBorders>
              <w:top w:val="nil"/>
              <w:left w:val="single" w:sz="4" w:space="0" w:color="000000"/>
              <w:bottom w:val="nil"/>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0,2</w:t>
            </w:r>
          </w:p>
        </w:tc>
      </w:tr>
      <w:tr w:rsidR="00ED7F17" w:rsidTr="00ED7F17">
        <w:trPr>
          <w:trHeight w:val="315"/>
        </w:trPr>
        <w:tc>
          <w:tcPr>
            <w:tcW w:w="2641"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b/>
                <w:bCs/>
                <w:color w:val="000000"/>
                <w:lang w:eastAsia="ru-RU"/>
              </w:rPr>
              <w:t>г. Астрахань</w:t>
            </w:r>
          </w:p>
        </w:tc>
        <w:tc>
          <w:tcPr>
            <w:tcW w:w="788" w:type="dxa"/>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25</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4,7</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8</w:t>
            </w:r>
          </w:p>
        </w:tc>
        <w:tc>
          <w:tcPr>
            <w:tcW w:w="871"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1,5</w:t>
            </w:r>
          </w:p>
        </w:tc>
        <w:tc>
          <w:tcPr>
            <w:tcW w:w="648"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w:t>
            </w:r>
          </w:p>
        </w:tc>
        <w:tc>
          <w:tcPr>
            <w:tcW w:w="702"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0,6</w:t>
            </w:r>
          </w:p>
        </w:tc>
        <w:tc>
          <w:tcPr>
            <w:tcW w:w="648"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7</w:t>
            </w:r>
          </w:p>
        </w:tc>
        <w:tc>
          <w:tcPr>
            <w:tcW w:w="702"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1,3</w:t>
            </w:r>
          </w:p>
        </w:tc>
        <w:tc>
          <w:tcPr>
            <w:tcW w:w="648"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 </w:t>
            </w:r>
          </w:p>
        </w:tc>
        <w:tc>
          <w:tcPr>
            <w:tcW w:w="738" w:type="dxa"/>
            <w:gridSpan w:val="2"/>
            <w:tcBorders>
              <w:top w:val="single" w:sz="4" w:space="0" w:color="000000"/>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0,0</w:t>
            </w:r>
          </w:p>
        </w:tc>
      </w:tr>
      <w:tr w:rsidR="00ED7F17" w:rsidTr="00ED7F17">
        <w:trPr>
          <w:trHeight w:val="315"/>
        </w:trPr>
        <w:tc>
          <w:tcPr>
            <w:tcW w:w="2641" w:type="dxa"/>
            <w:tcBorders>
              <w:top w:val="nil"/>
              <w:left w:val="single" w:sz="4" w:space="0" w:color="000000"/>
              <w:bottom w:val="single" w:sz="4" w:space="0" w:color="000000"/>
              <w:right w:val="nil"/>
            </w:tcBorders>
            <w:vAlign w:val="bottom"/>
            <w:hideMark/>
          </w:tcPr>
          <w:p w:rsidR="00ED7F17" w:rsidRDefault="00ED7F17">
            <w:pPr>
              <w:suppressAutoHyphens w:val="0"/>
              <w:rPr>
                <w:rFonts w:ascii="Arial" w:eastAsia="Arial" w:hAnsi="Arial" w:cs="Arial"/>
                <w:sz w:val="22"/>
                <w:szCs w:val="22"/>
              </w:rPr>
            </w:pPr>
            <w:r>
              <w:rPr>
                <w:b/>
                <w:bCs/>
                <w:color w:val="000000"/>
                <w:lang w:eastAsia="ru-RU"/>
              </w:rPr>
              <w:t>Свод по АО</w:t>
            </w:r>
          </w:p>
        </w:tc>
        <w:tc>
          <w:tcPr>
            <w:tcW w:w="78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33</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3,1</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11</w:t>
            </w:r>
          </w:p>
        </w:tc>
        <w:tc>
          <w:tcPr>
            <w:tcW w:w="87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1,1</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4</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0,4</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7</w:t>
            </w:r>
          </w:p>
        </w:tc>
        <w:tc>
          <w:tcPr>
            <w:tcW w:w="702"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0,7</w:t>
            </w:r>
          </w:p>
        </w:tc>
        <w:tc>
          <w:tcPr>
            <w:tcW w:w="64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w:t>
            </w:r>
          </w:p>
        </w:tc>
        <w:tc>
          <w:tcPr>
            <w:tcW w:w="738"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0,1</w:t>
            </w:r>
          </w:p>
        </w:tc>
      </w:tr>
    </w:tbl>
    <w:p w:rsidR="00ED7F17" w:rsidRDefault="00ED7F17" w:rsidP="00ED7F17">
      <w:pPr>
        <w:shd w:val="clear" w:color="auto" w:fill="FFFFFF"/>
        <w:suppressAutoHyphens w:val="0"/>
        <w:ind w:firstLine="697"/>
        <w:jc w:val="both"/>
        <w:rPr>
          <w:rFonts w:eastAsia="Arial"/>
          <w:color w:val="auto"/>
          <w:lang w:eastAsia="ru-RU"/>
        </w:rPr>
      </w:pPr>
    </w:p>
    <w:p w:rsidR="00ED7F17" w:rsidRDefault="00ED7F17" w:rsidP="00ED7F17">
      <w:pPr>
        <w:ind w:firstLine="709"/>
        <w:jc w:val="both"/>
        <w:rPr>
          <w:rFonts w:ascii="Arial" w:hAnsi="Arial" w:cs="Arial"/>
          <w:sz w:val="22"/>
          <w:szCs w:val="22"/>
        </w:rPr>
      </w:pPr>
      <w:bookmarkStart w:id="2" w:name="_GoBack3"/>
      <w:r>
        <w:t>В числе умерших от БСК доля лиц трудоспособного возраста снизилась до 12,2% (за 2014 и 2015 годы– 18%). Показатель смертности от БСК лиц трудоспособного возраста снизился по сравнению с 2014 годом на 37% или на 424 человек (с 1139 до 715 чел. или с 190 до 126,7), от ИБС на 41,8% или на 241 человека (с 576 до 335 человек или с 68,1 до 59,3), в том числе от ХИБС – на 29,6% или на 241 человека (с 368 человек до 259 человек или с 61,4 до 45,9), от инфарктов миокарда – в 2,6 раза или на 105 чел. (с 158 в 2014 году до 66 человек или с 28,5 до 11,7), от инсультов на 102 человека или 40,8% и составил 26,2 (2014 год – 41,8).</w:t>
      </w:r>
    </w:p>
    <w:p w:rsidR="00ED7F17" w:rsidRDefault="00ED7F17" w:rsidP="00ED7F17">
      <w:pPr>
        <w:ind w:firstLine="709"/>
        <w:jc w:val="both"/>
      </w:pPr>
      <w:r>
        <w:t xml:space="preserve">В структуре смертности от БСК лиц трудоспособного возраста на ИБС приходится 46,8% в 2018 году (50,6% в 2014 году), из них на ИМ – 19,7% в 2018 году (21% в 2014 году), на ХИБС – 77,3% в 2018 году (63,8% в 2014 году), кардиомиопатии – 27,4% в 2018 году (17,2% в 2014 году), на ЦВБ – 21,2% в 2018 году (24,5% в 2014 году), из них на инсульты – 97,3% в 2018 году (89,6% в 2014 году). </w:t>
      </w:r>
    </w:p>
    <w:p w:rsidR="00ED7F17" w:rsidRDefault="00ED7F17" w:rsidP="00ED7F17">
      <w:pPr>
        <w:ind w:firstLine="709"/>
        <w:jc w:val="both"/>
      </w:pPr>
      <w:r>
        <w:t xml:space="preserve">В общем числе умерших от БСК 87,8% приходится на лиц старше трудоспособного возраста, что на 0,2% ниже, чем за 2014 год (88%). В структуре смертности от БСК лиц старше трудоспособного </w:t>
      </w:r>
      <w:bookmarkEnd w:id="2"/>
      <w:r>
        <w:t>возраста на ИБС приходится 65,1% в 2018 году (61,3% в 2014 году), из них на инфаркт миокарда – 11,9% в 2018 году (18% в 2014 году), на ХИБС – 87,8% в 2018 году (81% в 2014 году), цереброваскулярные болезни – 26,7% в 2018 году (28,2% в 2014 году), из них на инсульты – 63,4% в 2018 году (64,4% в 2014 году), (другие ЦВБ и их последствия – 36,6% в 2018 году и 33,5% в 2014 году).</w:t>
      </w:r>
    </w:p>
    <w:p w:rsidR="00ED7F17" w:rsidRDefault="00ED7F17" w:rsidP="00ED7F17">
      <w:pPr>
        <w:ind w:firstLine="709"/>
        <w:jc w:val="both"/>
      </w:pPr>
      <w:r>
        <w:t>Показатель смертности лиц старше трудоспособного возраста от БСК на 11,7% или на 52 человека снизился в сравнении с 2014 годом (с 5183 до 5131 человека или с 2363,6 до 2086,4). Произошло снижение смертности данной категории граждан от ИБС – на 10,0% с 1510,3 до 1358,6 на 100 тыс. соответствующей группы населения или с 3475 до 3341 человека. Показатель смертности от ХИБС увеличился- на 11,5% или на 302 человека с 2633 до 2935 человек или с 1161,7 до 1193,5). При этом от инфаркта миокарда отмечается снижение показателя смертности на 30,8% или 177 человек (с 574 до 397 человек или с 253,3 до 161,4).</w:t>
      </w:r>
    </w:p>
    <w:p w:rsidR="00ED7F17" w:rsidRDefault="00ED7F17" w:rsidP="00ED7F17">
      <w:pPr>
        <w:ind w:firstLine="709"/>
        <w:jc w:val="both"/>
      </w:pPr>
      <w:r>
        <w:t>Показатель смертности лиц старше трудоспособного возраста снизился от цереброваскулярных болезней – на 16,6% (с 669,6 до 558,3 на 100 тыс. или на 87 человек с 1460 до 1373 человека), от ОНМК – на 7,5% или 71 человека (с 415,2 до 353,8 на 100 тыс. населения или с 941 до 870 человек) и от других ЦВБ и их последствий увеличился на 2,8% или на 14 чел. с 489 до 503 человек.</w:t>
      </w:r>
    </w:p>
    <w:p w:rsidR="00ED7F17" w:rsidRDefault="00ED7F17" w:rsidP="00ED7F17">
      <w:pPr>
        <w:pStyle w:val="2f"/>
        <w:spacing w:after="0" w:line="276" w:lineRule="auto"/>
        <w:ind w:left="0" w:firstLine="851"/>
        <w:jc w:val="both"/>
        <w:rPr>
          <w:rFonts w:ascii="Times New Roman" w:hAnsi="Times New Roman"/>
          <w:sz w:val="24"/>
          <w:szCs w:val="24"/>
        </w:rPr>
      </w:pPr>
    </w:p>
    <w:p w:rsidR="00ED7F17" w:rsidRDefault="00ED7F17" w:rsidP="00ED7F17">
      <w:pPr>
        <w:pStyle w:val="2f"/>
        <w:spacing w:after="0" w:line="276" w:lineRule="auto"/>
        <w:ind w:left="0" w:firstLine="709"/>
        <w:jc w:val="both"/>
      </w:pPr>
      <w:r>
        <w:rPr>
          <w:rFonts w:ascii="Times New Roman" w:hAnsi="Times New Roman"/>
          <w:b/>
          <w:sz w:val="24"/>
          <w:szCs w:val="24"/>
        </w:rPr>
        <w:t xml:space="preserve">1.3. Заболеваемость болезнями системы кровообращения </w:t>
      </w:r>
    </w:p>
    <w:p w:rsidR="00ED7F17" w:rsidRDefault="00ED7F17" w:rsidP="00ED7F17">
      <w:pPr>
        <w:pStyle w:val="2f"/>
        <w:spacing w:after="0" w:line="276" w:lineRule="auto"/>
        <w:ind w:left="0" w:firstLine="851"/>
        <w:jc w:val="both"/>
        <w:rPr>
          <w:rFonts w:ascii="Times New Roman" w:hAnsi="Times New Roman"/>
          <w:sz w:val="24"/>
          <w:szCs w:val="24"/>
        </w:rPr>
      </w:pPr>
    </w:p>
    <w:p w:rsidR="00ED7F17" w:rsidRDefault="00ED7F17" w:rsidP="00ED7F17">
      <w:pPr>
        <w:pStyle w:val="2f"/>
        <w:spacing w:after="0" w:line="276" w:lineRule="auto"/>
        <w:ind w:left="0" w:firstLine="709"/>
        <w:jc w:val="both"/>
      </w:pPr>
      <w:r>
        <w:rPr>
          <w:rFonts w:ascii="Times New Roman" w:hAnsi="Times New Roman"/>
          <w:sz w:val="24"/>
          <w:szCs w:val="24"/>
        </w:rPr>
        <w:t>Общая заболеваемость болезнями системы кровообращения населения Астраханской области в 2018 году составила</w:t>
      </w:r>
      <w:r>
        <w:t xml:space="preserve"> </w:t>
      </w:r>
      <w:r>
        <w:rPr>
          <w:rFonts w:ascii="Times New Roman" w:hAnsi="Times New Roman"/>
          <w:sz w:val="24"/>
          <w:szCs w:val="24"/>
        </w:rPr>
        <w:t xml:space="preserve">154,0 на 1000 населения, что на 8,4% ниже уровня 2014 года (168,1 на 1000 населения). В структуре общей заболеваемости населения заболеваемость БСК в 2018 году составила 12,9% от общего числа заболеваний, в 2014 году - 13,3% от общего числа заболеваний). </w:t>
      </w:r>
    </w:p>
    <w:p w:rsidR="00ED7F17" w:rsidRDefault="00ED7F17" w:rsidP="00ED7F17">
      <w:pPr>
        <w:pStyle w:val="2f"/>
        <w:spacing w:after="0" w:line="276" w:lineRule="auto"/>
        <w:ind w:left="0" w:firstLine="709"/>
        <w:jc w:val="both"/>
      </w:pPr>
      <w:r>
        <w:rPr>
          <w:rFonts w:ascii="Times New Roman" w:hAnsi="Times New Roman"/>
          <w:sz w:val="24"/>
          <w:szCs w:val="24"/>
        </w:rPr>
        <w:t>Общая заболеваемость БСК взрослого населения в 2018 году составила 193,5 на 1000 населения соответствующего возраста, что на 4,9% выше, чем заболеваемость прошлого года (184,5), но на 7% ниже заболеваемости 2014 года (208,2).</w:t>
      </w:r>
    </w:p>
    <w:p w:rsidR="00ED7F17" w:rsidRDefault="00ED7F17" w:rsidP="00ED7F17">
      <w:pPr>
        <w:pStyle w:val="2f"/>
        <w:spacing w:after="0" w:line="276" w:lineRule="auto"/>
        <w:ind w:left="0" w:firstLine="709"/>
        <w:jc w:val="both"/>
      </w:pPr>
      <w:r>
        <w:rPr>
          <w:rFonts w:ascii="Times New Roman" w:hAnsi="Times New Roman"/>
          <w:sz w:val="24"/>
          <w:szCs w:val="24"/>
        </w:rPr>
        <w:t>В структуре БСК среди взрослого населения на первом месте находятся цереброваскулярные болезни (30,8%), на втором - ишемическая болезнь сердца (27,3%), на третьем – болезни, характеризующиеся повышенным кровяным давлением (21,5%).</w:t>
      </w:r>
    </w:p>
    <w:p w:rsidR="00ED7F17" w:rsidRDefault="00ED7F17" w:rsidP="00ED7F17">
      <w:pPr>
        <w:pStyle w:val="2f"/>
        <w:spacing w:after="0" w:line="276" w:lineRule="auto"/>
        <w:ind w:left="0" w:firstLine="709"/>
        <w:jc w:val="both"/>
      </w:pPr>
      <w:r>
        <w:rPr>
          <w:rFonts w:ascii="Times New Roman" w:hAnsi="Times New Roman"/>
          <w:sz w:val="24"/>
          <w:szCs w:val="24"/>
        </w:rPr>
        <w:t>Самый высокий уровень общей заболеваемости БСК среди взрослого населения в 2018 году наблюдался в Икрянинском районе (321,0), самый низкий - в Приволжском (113,9). В большинстве районах Астраханской области отмечается рост общей заболеваемости БСК, за исключением Ахтубинского, Камызякского, Приволжского, Черноярского районов и г. Астрахани. Наиболее высокий рост показателя отмечается в Лиманском районе - на 34,3% (с 131,9 до 177,3 на 1000 взрослого населения), но при этом показатель остается ниже среднеобластного (193,9). Максимальное снижение показателя за 5 лет отмечается в Ахтубинском районе – на 49,1% (с 367,6 до 187,0 на 1000 взрослого населения)</w:t>
      </w:r>
    </w:p>
    <w:p w:rsidR="00ED7F17" w:rsidRDefault="00ED7F17" w:rsidP="00ED7F17">
      <w:pPr>
        <w:pStyle w:val="2f"/>
        <w:spacing w:after="0" w:line="276" w:lineRule="auto"/>
        <w:ind w:left="0" w:firstLine="709"/>
        <w:jc w:val="both"/>
        <w:rPr>
          <w:rFonts w:ascii="Times New Roman" w:hAnsi="Times New Roman"/>
          <w:sz w:val="24"/>
          <w:szCs w:val="24"/>
        </w:rPr>
      </w:pPr>
    </w:p>
    <w:tbl>
      <w:tblPr>
        <w:tblW w:w="0" w:type="auto"/>
        <w:tblInd w:w="-30" w:type="dxa"/>
        <w:tblLayout w:type="fixed"/>
        <w:tblLook w:val="04A0" w:firstRow="1" w:lastRow="0" w:firstColumn="1" w:lastColumn="0" w:noHBand="0" w:noVBand="1"/>
      </w:tblPr>
      <w:tblGrid>
        <w:gridCol w:w="1812"/>
        <w:gridCol w:w="858"/>
        <w:gridCol w:w="857"/>
        <w:gridCol w:w="857"/>
        <w:gridCol w:w="857"/>
        <w:gridCol w:w="859"/>
        <w:gridCol w:w="737"/>
        <w:gridCol w:w="806"/>
        <w:gridCol w:w="737"/>
        <w:gridCol w:w="737"/>
        <w:gridCol w:w="767"/>
      </w:tblGrid>
      <w:tr w:rsidR="00ED7F17" w:rsidTr="00ED7F17">
        <w:trPr>
          <w:trHeight w:val="525"/>
        </w:trPr>
        <w:tc>
          <w:tcPr>
            <w:tcW w:w="1812" w:type="dxa"/>
            <w:vMerge w:val="restart"/>
            <w:tcBorders>
              <w:top w:val="single" w:sz="4" w:space="0" w:color="000000"/>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b/>
                <w:bCs/>
                <w:color w:val="000000"/>
                <w:sz w:val="20"/>
                <w:szCs w:val="20"/>
                <w:lang w:eastAsia="ru-RU"/>
              </w:rPr>
              <w:t> </w:t>
            </w:r>
          </w:p>
          <w:p w:rsidR="00ED7F17" w:rsidRDefault="00ED7F17">
            <w:pPr>
              <w:jc w:val="center"/>
              <w:rPr>
                <w:rFonts w:ascii="Arial" w:eastAsia="Arial" w:hAnsi="Arial" w:cs="Arial"/>
                <w:sz w:val="22"/>
                <w:szCs w:val="22"/>
              </w:rPr>
            </w:pPr>
            <w:r>
              <w:rPr>
                <w:b/>
                <w:bCs/>
                <w:color w:val="000000"/>
                <w:sz w:val="20"/>
                <w:szCs w:val="20"/>
                <w:lang w:eastAsia="ru-RU"/>
              </w:rPr>
              <w:t>Наименование территории</w:t>
            </w:r>
          </w:p>
        </w:tc>
        <w:tc>
          <w:tcPr>
            <w:tcW w:w="8072" w:type="dxa"/>
            <w:gridSpan w:val="10"/>
            <w:tcBorders>
              <w:top w:val="single" w:sz="4" w:space="0" w:color="000000"/>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Общая заболеваемость (взрослые - 18 лет и старше)</w:t>
            </w:r>
          </w:p>
        </w:tc>
      </w:tr>
      <w:tr w:rsidR="00ED7F17" w:rsidTr="00ED7F17">
        <w:trPr>
          <w:trHeight w:val="360"/>
        </w:trPr>
        <w:tc>
          <w:tcPr>
            <w:tcW w:w="1812" w:type="dxa"/>
            <w:vMerge/>
            <w:tcBorders>
              <w:top w:val="single" w:sz="4" w:space="0" w:color="000000"/>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4288" w:type="dxa"/>
            <w:gridSpan w:val="5"/>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Абсолютное количество</w:t>
            </w:r>
          </w:p>
        </w:tc>
        <w:tc>
          <w:tcPr>
            <w:tcW w:w="3784" w:type="dxa"/>
            <w:gridSpan w:val="5"/>
            <w:tcBorders>
              <w:top w:val="single" w:sz="4" w:space="0" w:color="000000"/>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на 1000 взрослого населения</w:t>
            </w:r>
          </w:p>
        </w:tc>
      </w:tr>
      <w:tr w:rsidR="00ED7F17" w:rsidTr="00ED7F17">
        <w:trPr>
          <w:trHeight w:val="525"/>
        </w:trPr>
        <w:tc>
          <w:tcPr>
            <w:tcW w:w="1812" w:type="dxa"/>
            <w:vMerge/>
            <w:tcBorders>
              <w:top w:val="single" w:sz="4" w:space="0" w:color="000000"/>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85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2014</w:t>
            </w:r>
          </w:p>
        </w:tc>
        <w:tc>
          <w:tcPr>
            <w:tcW w:w="85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2015</w:t>
            </w:r>
          </w:p>
        </w:tc>
        <w:tc>
          <w:tcPr>
            <w:tcW w:w="85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2016</w:t>
            </w:r>
          </w:p>
        </w:tc>
        <w:tc>
          <w:tcPr>
            <w:tcW w:w="85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2017</w:t>
            </w:r>
          </w:p>
        </w:tc>
        <w:tc>
          <w:tcPr>
            <w:tcW w:w="85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2018</w:t>
            </w:r>
          </w:p>
        </w:tc>
        <w:tc>
          <w:tcPr>
            <w:tcW w:w="73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2014</w:t>
            </w:r>
          </w:p>
        </w:tc>
        <w:tc>
          <w:tcPr>
            <w:tcW w:w="806"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2015</w:t>
            </w:r>
          </w:p>
        </w:tc>
        <w:tc>
          <w:tcPr>
            <w:tcW w:w="73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2016</w:t>
            </w:r>
          </w:p>
        </w:tc>
        <w:tc>
          <w:tcPr>
            <w:tcW w:w="73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2017</w:t>
            </w:r>
          </w:p>
        </w:tc>
        <w:tc>
          <w:tcPr>
            <w:tcW w:w="767" w:type="dxa"/>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2018</w:t>
            </w:r>
          </w:p>
        </w:tc>
      </w:tr>
      <w:tr w:rsidR="00ED7F17" w:rsidTr="00ED7F17">
        <w:trPr>
          <w:trHeight w:val="315"/>
        </w:trPr>
        <w:tc>
          <w:tcPr>
            <w:tcW w:w="1812"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Ахтубинский район</w:t>
            </w:r>
          </w:p>
        </w:tc>
        <w:tc>
          <w:tcPr>
            <w:tcW w:w="85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17811</w:t>
            </w:r>
          </w:p>
        </w:tc>
        <w:tc>
          <w:tcPr>
            <w:tcW w:w="85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10950</w:t>
            </w:r>
          </w:p>
        </w:tc>
        <w:tc>
          <w:tcPr>
            <w:tcW w:w="85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10120</w:t>
            </w:r>
          </w:p>
        </w:tc>
        <w:tc>
          <w:tcPr>
            <w:tcW w:w="85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9086</w:t>
            </w:r>
          </w:p>
        </w:tc>
        <w:tc>
          <w:tcPr>
            <w:tcW w:w="85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8780</w:t>
            </w:r>
          </w:p>
        </w:tc>
        <w:tc>
          <w:tcPr>
            <w:tcW w:w="73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367,6</w:t>
            </w:r>
          </w:p>
        </w:tc>
        <w:tc>
          <w:tcPr>
            <w:tcW w:w="80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225,14</w:t>
            </w:r>
          </w:p>
        </w:tc>
        <w:tc>
          <w:tcPr>
            <w:tcW w:w="73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211,9</w:t>
            </w:r>
          </w:p>
        </w:tc>
        <w:tc>
          <w:tcPr>
            <w:tcW w:w="73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193,5</w:t>
            </w:r>
          </w:p>
        </w:tc>
        <w:tc>
          <w:tcPr>
            <w:tcW w:w="767"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187,0</w:t>
            </w:r>
          </w:p>
        </w:tc>
      </w:tr>
      <w:tr w:rsidR="00ED7F17" w:rsidTr="00ED7F17">
        <w:trPr>
          <w:trHeight w:val="315"/>
        </w:trPr>
        <w:tc>
          <w:tcPr>
            <w:tcW w:w="1812"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Володарский район</w:t>
            </w:r>
          </w:p>
        </w:tc>
        <w:tc>
          <w:tcPr>
            <w:tcW w:w="85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4383</w:t>
            </w:r>
          </w:p>
        </w:tc>
        <w:tc>
          <w:tcPr>
            <w:tcW w:w="85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4129</w:t>
            </w:r>
          </w:p>
        </w:tc>
        <w:tc>
          <w:tcPr>
            <w:tcW w:w="85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4116</w:t>
            </w:r>
          </w:p>
        </w:tc>
        <w:tc>
          <w:tcPr>
            <w:tcW w:w="85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5160</w:t>
            </w:r>
          </w:p>
        </w:tc>
        <w:tc>
          <w:tcPr>
            <w:tcW w:w="85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5500</w:t>
            </w:r>
          </w:p>
        </w:tc>
        <w:tc>
          <w:tcPr>
            <w:tcW w:w="73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121,9</w:t>
            </w:r>
          </w:p>
        </w:tc>
        <w:tc>
          <w:tcPr>
            <w:tcW w:w="80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115,6</w:t>
            </w:r>
          </w:p>
        </w:tc>
        <w:tc>
          <w:tcPr>
            <w:tcW w:w="73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116,5</w:t>
            </w:r>
          </w:p>
        </w:tc>
        <w:tc>
          <w:tcPr>
            <w:tcW w:w="73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147,6</w:t>
            </w:r>
          </w:p>
        </w:tc>
        <w:tc>
          <w:tcPr>
            <w:tcW w:w="767"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158,5</w:t>
            </w:r>
          </w:p>
        </w:tc>
      </w:tr>
      <w:tr w:rsidR="00ED7F17" w:rsidTr="00ED7F17">
        <w:trPr>
          <w:trHeight w:val="315"/>
        </w:trPr>
        <w:tc>
          <w:tcPr>
            <w:tcW w:w="1812"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Енотаевский район</w:t>
            </w:r>
          </w:p>
        </w:tc>
        <w:tc>
          <w:tcPr>
            <w:tcW w:w="85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3157</w:t>
            </w:r>
          </w:p>
        </w:tc>
        <w:tc>
          <w:tcPr>
            <w:tcW w:w="85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2982</w:t>
            </w:r>
          </w:p>
        </w:tc>
        <w:tc>
          <w:tcPr>
            <w:tcW w:w="85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2942</w:t>
            </w:r>
          </w:p>
        </w:tc>
        <w:tc>
          <w:tcPr>
            <w:tcW w:w="85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2741</w:t>
            </w:r>
          </w:p>
        </w:tc>
        <w:tc>
          <w:tcPr>
            <w:tcW w:w="85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4029</w:t>
            </w:r>
          </w:p>
        </w:tc>
        <w:tc>
          <w:tcPr>
            <w:tcW w:w="73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156,5</w:t>
            </w:r>
          </w:p>
        </w:tc>
        <w:tc>
          <w:tcPr>
            <w:tcW w:w="80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149,4</w:t>
            </w:r>
          </w:p>
        </w:tc>
        <w:tc>
          <w:tcPr>
            <w:tcW w:w="73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148,5</w:t>
            </w:r>
          </w:p>
        </w:tc>
        <w:tc>
          <w:tcPr>
            <w:tcW w:w="73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139,3</w:t>
            </w:r>
          </w:p>
        </w:tc>
        <w:tc>
          <w:tcPr>
            <w:tcW w:w="767"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207,0</w:t>
            </w:r>
          </w:p>
        </w:tc>
      </w:tr>
      <w:tr w:rsidR="00ED7F17" w:rsidTr="00ED7F17">
        <w:trPr>
          <w:trHeight w:val="345"/>
        </w:trPr>
        <w:tc>
          <w:tcPr>
            <w:tcW w:w="1812"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Икрянинский район</w:t>
            </w:r>
          </w:p>
        </w:tc>
        <w:tc>
          <w:tcPr>
            <w:tcW w:w="85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9060</w:t>
            </w:r>
          </w:p>
        </w:tc>
        <w:tc>
          <w:tcPr>
            <w:tcW w:w="85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8059</w:t>
            </w:r>
          </w:p>
        </w:tc>
        <w:tc>
          <w:tcPr>
            <w:tcW w:w="85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13690</w:t>
            </w:r>
          </w:p>
        </w:tc>
        <w:tc>
          <w:tcPr>
            <w:tcW w:w="85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5361</w:t>
            </w:r>
          </w:p>
        </w:tc>
        <w:tc>
          <w:tcPr>
            <w:tcW w:w="85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11368</w:t>
            </w:r>
          </w:p>
        </w:tc>
        <w:tc>
          <w:tcPr>
            <w:tcW w:w="73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241,3</w:t>
            </w:r>
          </w:p>
        </w:tc>
        <w:tc>
          <w:tcPr>
            <w:tcW w:w="80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216,3</w:t>
            </w:r>
          </w:p>
        </w:tc>
        <w:tc>
          <w:tcPr>
            <w:tcW w:w="73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370,5</w:t>
            </w:r>
          </w:p>
        </w:tc>
        <w:tc>
          <w:tcPr>
            <w:tcW w:w="73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146,4</w:t>
            </w:r>
          </w:p>
        </w:tc>
        <w:tc>
          <w:tcPr>
            <w:tcW w:w="767"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312,0</w:t>
            </w:r>
          </w:p>
        </w:tc>
      </w:tr>
      <w:tr w:rsidR="00ED7F17" w:rsidTr="00ED7F17">
        <w:trPr>
          <w:trHeight w:val="315"/>
        </w:trPr>
        <w:tc>
          <w:tcPr>
            <w:tcW w:w="1812"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Камызякский район</w:t>
            </w:r>
          </w:p>
        </w:tc>
        <w:tc>
          <w:tcPr>
            <w:tcW w:w="85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11074</w:t>
            </w:r>
          </w:p>
        </w:tc>
        <w:tc>
          <w:tcPr>
            <w:tcW w:w="85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10081</w:t>
            </w:r>
          </w:p>
        </w:tc>
        <w:tc>
          <w:tcPr>
            <w:tcW w:w="85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9259</w:t>
            </w:r>
          </w:p>
        </w:tc>
        <w:tc>
          <w:tcPr>
            <w:tcW w:w="85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10193</w:t>
            </w:r>
          </w:p>
        </w:tc>
        <w:tc>
          <w:tcPr>
            <w:tcW w:w="85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9038</w:t>
            </w:r>
          </w:p>
        </w:tc>
        <w:tc>
          <w:tcPr>
            <w:tcW w:w="73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290</w:t>
            </w:r>
          </w:p>
        </w:tc>
        <w:tc>
          <w:tcPr>
            <w:tcW w:w="80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266,9</w:t>
            </w:r>
          </w:p>
        </w:tc>
        <w:tc>
          <w:tcPr>
            <w:tcW w:w="73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246,9</w:t>
            </w:r>
          </w:p>
        </w:tc>
        <w:tc>
          <w:tcPr>
            <w:tcW w:w="73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274,7</w:t>
            </w:r>
          </w:p>
        </w:tc>
        <w:tc>
          <w:tcPr>
            <w:tcW w:w="767"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246,2</w:t>
            </w:r>
          </w:p>
        </w:tc>
      </w:tr>
      <w:tr w:rsidR="00ED7F17" w:rsidTr="00ED7F17">
        <w:trPr>
          <w:trHeight w:val="345"/>
        </w:trPr>
        <w:tc>
          <w:tcPr>
            <w:tcW w:w="1812"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Красноярский район</w:t>
            </w:r>
          </w:p>
        </w:tc>
        <w:tc>
          <w:tcPr>
            <w:tcW w:w="85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3672</w:t>
            </w:r>
          </w:p>
        </w:tc>
        <w:tc>
          <w:tcPr>
            <w:tcW w:w="85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3372</w:t>
            </w:r>
          </w:p>
        </w:tc>
        <w:tc>
          <w:tcPr>
            <w:tcW w:w="85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3485</w:t>
            </w:r>
          </w:p>
        </w:tc>
        <w:tc>
          <w:tcPr>
            <w:tcW w:w="85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3029</w:t>
            </w:r>
          </w:p>
        </w:tc>
        <w:tc>
          <w:tcPr>
            <w:tcW w:w="85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4143</w:t>
            </w:r>
          </w:p>
        </w:tc>
        <w:tc>
          <w:tcPr>
            <w:tcW w:w="73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135,4</w:t>
            </w:r>
          </w:p>
        </w:tc>
        <w:tc>
          <w:tcPr>
            <w:tcW w:w="80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123,4</w:t>
            </w:r>
          </w:p>
        </w:tc>
        <w:tc>
          <w:tcPr>
            <w:tcW w:w="73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126,9</w:t>
            </w:r>
          </w:p>
        </w:tc>
        <w:tc>
          <w:tcPr>
            <w:tcW w:w="73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109,8</w:t>
            </w:r>
          </w:p>
        </w:tc>
        <w:tc>
          <w:tcPr>
            <w:tcW w:w="767"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150,2</w:t>
            </w:r>
          </w:p>
        </w:tc>
      </w:tr>
      <w:tr w:rsidR="00ED7F17" w:rsidTr="00ED7F17">
        <w:trPr>
          <w:trHeight w:val="360"/>
        </w:trPr>
        <w:tc>
          <w:tcPr>
            <w:tcW w:w="1812"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Лиманский район</w:t>
            </w:r>
          </w:p>
        </w:tc>
        <w:tc>
          <w:tcPr>
            <w:tcW w:w="85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3200</w:t>
            </w:r>
          </w:p>
        </w:tc>
        <w:tc>
          <w:tcPr>
            <w:tcW w:w="85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3754</w:t>
            </w:r>
          </w:p>
        </w:tc>
        <w:tc>
          <w:tcPr>
            <w:tcW w:w="85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3451</w:t>
            </w:r>
          </w:p>
        </w:tc>
        <w:tc>
          <w:tcPr>
            <w:tcW w:w="85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3742</w:t>
            </w:r>
          </w:p>
        </w:tc>
        <w:tc>
          <w:tcPr>
            <w:tcW w:w="85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4048</w:t>
            </w:r>
          </w:p>
        </w:tc>
        <w:tc>
          <w:tcPr>
            <w:tcW w:w="73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131,9</w:t>
            </w:r>
          </w:p>
        </w:tc>
        <w:tc>
          <w:tcPr>
            <w:tcW w:w="80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157,8</w:t>
            </w:r>
          </w:p>
        </w:tc>
        <w:tc>
          <w:tcPr>
            <w:tcW w:w="73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146,4</w:t>
            </w:r>
          </w:p>
        </w:tc>
        <w:tc>
          <w:tcPr>
            <w:tcW w:w="73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160,6</w:t>
            </w:r>
          </w:p>
        </w:tc>
        <w:tc>
          <w:tcPr>
            <w:tcW w:w="767"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177,3</w:t>
            </w:r>
          </w:p>
        </w:tc>
      </w:tr>
      <w:tr w:rsidR="00ED7F17" w:rsidTr="00ED7F17">
        <w:trPr>
          <w:trHeight w:val="345"/>
        </w:trPr>
        <w:tc>
          <w:tcPr>
            <w:tcW w:w="1812"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Наримановский район</w:t>
            </w:r>
          </w:p>
        </w:tc>
        <w:tc>
          <w:tcPr>
            <w:tcW w:w="85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4048</w:t>
            </w:r>
          </w:p>
        </w:tc>
        <w:tc>
          <w:tcPr>
            <w:tcW w:w="85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3883</w:t>
            </w:r>
          </w:p>
        </w:tc>
        <w:tc>
          <w:tcPr>
            <w:tcW w:w="85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4070</w:t>
            </w:r>
          </w:p>
        </w:tc>
        <w:tc>
          <w:tcPr>
            <w:tcW w:w="85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5725</w:t>
            </w:r>
          </w:p>
        </w:tc>
        <w:tc>
          <w:tcPr>
            <w:tcW w:w="85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5630</w:t>
            </w:r>
          </w:p>
        </w:tc>
        <w:tc>
          <w:tcPr>
            <w:tcW w:w="73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112,4</w:t>
            </w:r>
          </w:p>
        </w:tc>
        <w:tc>
          <w:tcPr>
            <w:tcW w:w="80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107,1</w:t>
            </w:r>
          </w:p>
        </w:tc>
        <w:tc>
          <w:tcPr>
            <w:tcW w:w="73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112,0</w:t>
            </w:r>
          </w:p>
        </w:tc>
        <w:tc>
          <w:tcPr>
            <w:tcW w:w="73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157,9</w:t>
            </w:r>
          </w:p>
        </w:tc>
        <w:tc>
          <w:tcPr>
            <w:tcW w:w="767"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139,3</w:t>
            </w:r>
          </w:p>
        </w:tc>
      </w:tr>
      <w:tr w:rsidR="00ED7F17" w:rsidTr="00ED7F17">
        <w:trPr>
          <w:trHeight w:val="315"/>
        </w:trPr>
        <w:tc>
          <w:tcPr>
            <w:tcW w:w="1812"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Приволжский район</w:t>
            </w:r>
          </w:p>
        </w:tc>
        <w:tc>
          <w:tcPr>
            <w:tcW w:w="85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6013</w:t>
            </w:r>
          </w:p>
        </w:tc>
        <w:tc>
          <w:tcPr>
            <w:tcW w:w="85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4652</w:t>
            </w:r>
          </w:p>
        </w:tc>
        <w:tc>
          <w:tcPr>
            <w:tcW w:w="85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4607</w:t>
            </w:r>
          </w:p>
        </w:tc>
        <w:tc>
          <w:tcPr>
            <w:tcW w:w="85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4750</w:t>
            </w:r>
          </w:p>
        </w:tc>
        <w:tc>
          <w:tcPr>
            <w:tcW w:w="85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4868</w:t>
            </w:r>
          </w:p>
        </w:tc>
        <w:tc>
          <w:tcPr>
            <w:tcW w:w="73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172,6</w:t>
            </w:r>
          </w:p>
        </w:tc>
        <w:tc>
          <w:tcPr>
            <w:tcW w:w="80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130,2</w:t>
            </w:r>
          </w:p>
        </w:tc>
        <w:tc>
          <w:tcPr>
            <w:tcW w:w="73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126,2</w:t>
            </w:r>
          </w:p>
        </w:tc>
        <w:tc>
          <w:tcPr>
            <w:tcW w:w="73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128,8</w:t>
            </w:r>
          </w:p>
        </w:tc>
        <w:tc>
          <w:tcPr>
            <w:tcW w:w="767"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113,1</w:t>
            </w:r>
          </w:p>
        </w:tc>
      </w:tr>
      <w:tr w:rsidR="00ED7F17" w:rsidTr="00ED7F17">
        <w:trPr>
          <w:trHeight w:val="315"/>
        </w:trPr>
        <w:tc>
          <w:tcPr>
            <w:tcW w:w="1812"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Харабалинский район</w:t>
            </w:r>
          </w:p>
        </w:tc>
        <w:tc>
          <w:tcPr>
            <w:tcW w:w="85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5816</w:t>
            </w:r>
          </w:p>
        </w:tc>
        <w:tc>
          <w:tcPr>
            <w:tcW w:w="85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5240</w:t>
            </w:r>
          </w:p>
        </w:tc>
        <w:tc>
          <w:tcPr>
            <w:tcW w:w="85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5201</w:t>
            </w:r>
          </w:p>
        </w:tc>
        <w:tc>
          <w:tcPr>
            <w:tcW w:w="85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6313</w:t>
            </w:r>
          </w:p>
        </w:tc>
        <w:tc>
          <w:tcPr>
            <w:tcW w:w="85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6028</w:t>
            </w:r>
          </w:p>
        </w:tc>
        <w:tc>
          <w:tcPr>
            <w:tcW w:w="73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182,5</w:t>
            </w:r>
          </w:p>
        </w:tc>
        <w:tc>
          <w:tcPr>
            <w:tcW w:w="80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166,9</w:t>
            </w:r>
          </w:p>
        </w:tc>
        <w:tc>
          <w:tcPr>
            <w:tcW w:w="73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166,5</w:t>
            </w:r>
          </w:p>
        </w:tc>
        <w:tc>
          <w:tcPr>
            <w:tcW w:w="73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203,1</w:t>
            </w:r>
          </w:p>
        </w:tc>
        <w:tc>
          <w:tcPr>
            <w:tcW w:w="767"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195,0</w:t>
            </w:r>
          </w:p>
        </w:tc>
      </w:tr>
      <w:tr w:rsidR="00ED7F17" w:rsidTr="00ED7F17">
        <w:trPr>
          <w:trHeight w:val="315"/>
        </w:trPr>
        <w:tc>
          <w:tcPr>
            <w:tcW w:w="1812"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Черноярский район</w:t>
            </w:r>
          </w:p>
        </w:tc>
        <w:tc>
          <w:tcPr>
            <w:tcW w:w="85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4735</w:t>
            </w:r>
          </w:p>
        </w:tc>
        <w:tc>
          <w:tcPr>
            <w:tcW w:w="85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4263</w:t>
            </w:r>
          </w:p>
        </w:tc>
        <w:tc>
          <w:tcPr>
            <w:tcW w:w="85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3899</w:t>
            </w:r>
          </w:p>
        </w:tc>
        <w:tc>
          <w:tcPr>
            <w:tcW w:w="85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4345</w:t>
            </w:r>
          </w:p>
        </w:tc>
        <w:tc>
          <w:tcPr>
            <w:tcW w:w="85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4477</w:t>
            </w:r>
          </w:p>
        </w:tc>
        <w:tc>
          <w:tcPr>
            <w:tcW w:w="73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300,9</w:t>
            </w:r>
          </w:p>
        </w:tc>
        <w:tc>
          <w:tcPr>
            <w:tcW w:w="80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272,9</w:t>
            </w:r>
          </w:p>
        </w:tc>
        <w:tc>
          <w:tcPr>
            <w:tcW w:w="73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251,6</w:t>
            </w:r>
          </w:p>
        </w:tc>
        <w:tc>
          <w:tcPr>
            <w:tcW w:w="73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282,2</w:t>
            </w:r>
          </w:p>
        </w:tc>
        <w:tc>
          <w:tcPr>
            <w:tcW w:w="767"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386,4</w:t>
            </w:r>
          </w:p>
        </w:tc>
      </w:tr>
      <w:tr w:rsidR="00ED7F17" w:rsidTr="00ED7F17">
        <w:trPr>
          <w:trHeight w:val="315"/>
        </w:trPr>
        <w:tc>
          <w:tcPr>
            <w:tcW w:w="1812"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 xml:space="preserve">г. Знаменск </w:t>
            </w:r>
          </w:p>
        </w:tc>
        <w:tc>
          <w:tcPr>
            <w:tcW w:w="85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3619</w:t>
            </w:r>
          </w:p>
        </w:tc>
        <w:tc>
          <w:tcPr>
            <w:tcW w:w="85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2932</w:t>
            </w:r>
          </w:p>
        </w:tc>
        <w:tc>
          <w:tcPr>
            <w:tcW w:w="85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2889</w:t>
            </w:r>
          </w:p>
        </w:tc>
        <w:tc>
          <w:tcPr>
            <w:tcW w:w="85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2596</w:t>
            </w:r>
          </w:p>
        </w:tc>
        <w:tc>
          <w:tcPr>
            <w:tcW w:w="85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2882</w:t>
            </w:r>
          </w:p>
        </w:tc>
        <w:tc>
          <w:tcPr>
            <w:tcW w:w="73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136,8</w:t>
            </w:r>
          </w:p>
        </w:tc>
        <w:tc>
          <w:tcPr>
            <w:tcW w:w="80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112,8</w:t>
            </w:r>
          </w:p>
        </w:tc>
        <w:tc>
          <w:tcPr>
            <w:tcW w:w="73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111,5</w:t>
            </w:r>
          </w:p>
        </w:tc>
        <w:tc>
          <w:tcPr>
            <w:tcW w:w="73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101,3</w:t>
            </w:r>
          </w:p>
        </w:tc>
        <w:tc>
          <w:tcPr>
            <w:tcW w:w="767"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113,9</w:t>
            </w:r>
          </w:p>
        </w:tc>
      </w:tr>
      <w:tr w:rsidR="00ED7F17" w:rsidTr="00ED7F17">
        <w:trPr>
          <w:trHeight w:val="405"/>
        </w:trPr>
        <w:tc>
          <w:tcPr>
            <w:tcW w:w="1812"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bCs/>
                <w:color w:val="000000"/>
                <w:sz w:val="20"/>
                <w:szCs w:val="20"/>
                <w:lang w:eastAsia="ru-RU"/>
              </w:rPr>
              <w:t xml:space="preserve"> г. Астрахань</w:t>
            </w:r>
          </w:p>
        </w:tc>
        <w:tc>
          <w:tcPr>
            <w:tcW w:w="85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91566</w:t>
            </w:r>
          </w:p>
        </w:tc>
        <w:tc>
          <w:tcPr>
            <w:tcW w:w="85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81814</w:t>
            </w:r>
          </w:p>
        </w:tc>
        <w:tc>
          <w:tcPr>
            <w:tcW w:w="85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78767</w:t>
            </w:r>
          </w:p>
        </w:tc>
        <w:tc>
          <w:tcPr>
            <w:tcW w:w="85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83929</w:t>
            </w:r>
          </w:p>
        </w:tc>
        <w:tc>
          <w:tcPr>
            <w:tcW w:w="85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82632</w:t>
            </w:r>
          </w:p>
        </w:tc>
        <w:tc>
          <w:tcPr>
            <w:tcW w:w="73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212,4</w:t>
            </w:r>
          </w:p>
        </w:tc>
        <w:tc>
          <w:tcPr>
            <w:tcW w:w="80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189,8</w:t>
            </w:r>
          </w:p>
        </w:tc>
        <w:tc>
          <w:tcPr>
            <w:tcW w:w="73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183,9</w:t>
            </w:r>
          </w:p>
        </w:tc>
        <w:tc>
          <w:tcPr>
            <w:tcW w:w="73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197,5</w:t>
            </w:r>
          </w:p>
        </w:tc>
        <w:tc>
          <w:tcPr>
            <w:tcW w:w="767"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195,2</w:t>
            </w:r>
          </w:p>
        </w:tc>
      </w:tr>
      <w:tr w:rsidR="00ED7F17" w:rsidTr="00ED7F17">
        <w:trPr>
          <w:trHeight w:val="315"/>
        </w:trPr>
        <w:tc>
          <w:tcPr>
            <w:tcW w:w="1812"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b/>
                <w:bCs/>
                <w:color w:val="000000"/>
                <w:sz w:val="20"/>
                <w:szCs w:val="20"/>
                <w:lang w:eastAsia="ru-RU"/>
              </w:rPr>
              <w:t>Астраханская область</w:t>
            </w:r>
          </w:p>
        </w:tc>
        <w:tc>
          <w:tcPr>
            <w:tcW w:w="85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168154</w:t>
            </w:r>
          </w:p>
        </w:tc>
        <w:tc>
          <w:tcPr>
            <w:tcW w:w="85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146111</w:t>
            </w:r>
          </w:p>
        </w:tc>
        <w:tc>
          <w:tcPr>
            <w:tcW w:w="85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146496</w:t>
            </w:r>
          </w:p>
        </w:tc>
        <w:tc>
          <w:tcPr>
            <w:tcW w:w="85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146970</w:t>
            </w:r>
          </w:p>
        </w:tc>
        <w:tc>
          <w:tcPr>
            <w:tcW w:w="85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153423</w:t>
            </w:r>
          </w:p>
        </w:tc>
        <w:tc>
          <w:tcPr>
            <w:tcW w:w="73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208,2</w:t>
            </w:r>
          </w:p>
        </w:tc>
        <w:tc>
          <w:tcPr>
            <w:tcW w:w="80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181,2</w:t>
            </w:r>
          </w:p>
        </w:tc>
        <w:tc>
          <w:tcPr>
            <w:tcW w:w="73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182,6</w:t>
            </w:r>
          </w:p>
        </w:tc>
        <w:tc>
          <w:tcPr>
            <w:tcW w:w="73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184,5</w:t>
            </w:r>
          </w:p>
        </w:tc>
        <w:tc>
          <w:tcPr>
            <w:tcW w:w="767"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193,5</w:t>
            </w:r>
          </w:p>
        </w:tc>
      </w:tr>
    </w:tbl>
    <w:p w:rsidR="00ED7F17" w:rsidRDefault="00ED7F17" w:rsidP="00ED7F17">
      <w:pPr>
        <w:pStyle w:val="2f"/>
        <w:spacing w:after="0" w:line="276" w:lineRule="auto"/>
        <w:ind w:left="0" w:firstLine="709"/>
        <w:jc w:val="both"/>
        <w:rPr>
          <w:rFonts w:ascii="Times New Roman" w:hAnsi="Times New Roman"/>
          <w:sz w:val="24"/>
          <w:szCs w:val="24"/>
        </w:rPr>
      </w:pPr>
    </w:p>
    <w:p w:rsidR="00ED7F17" w:rsidRDefault="00ED7F17" w:rsidP="00ED7F17">
      <w:pPr>
        <w:pStyle w:val="2f"/>
        <w:spacing w:after="0" w:line="276" w:lineRule="auto"/>
        <w:ind w:left="0" w:firstLine="709"/>
        <w:jc w:val="both"/>
      </w:pPr>
      <w:r>
        <w:rPr>
          <w:rFonts w:ascii="Times New Roman" w:hAnsi="Times New Roman"/>
          <w:sz w:val="24"/>
          <w:szCs w:val="24"/>
        </w:rPr>
        <w:t>Первичная заболеваемость всего населения за 2018 год составила 616,0 на 1000 населения, что на 8,1% ниже уровня 2014 года (670,6 на 1000 населения). Первичная заболеваемость БСК взрослого населения Астраханской области в 2018 году по сравнению с 2017 годом снизилась на 11,6% (с 30,5 до 26,5 на 100), по сравнению с 2014 годом на 35,0% (с 40,8 до 26,5 на 1000 взрослого населения).</w:t>
      </w:r>
    </w:p>
    <w:p w:rsidR="00ED7F17" w:rsidRDefault="00ED7F17" w:rsidP="00ED7F17">
      <w:pPr>
        <w:pStyle w:val="2f"/>
        <w:spacing w:after="0" w:line="276" w:lineRule="auto"/>
        <w:ind w:left="0" w:firstLine="709"/>
        <w:jc w:val="both"/>
      </w:pPr>
      <w:r>
        <w:rPr>
          <w:rFonts w:ascii="Times New Roman" w:hAnsi="Times New Roman"/>
          <w:sz w:val="24"/>
          <w:szCs w:val="24"/>
        </w:rPr>
        <w:t>Самый высокий показатель первичной заболеваемости БСК взрослого населения отмечается в Черноярском районе (87,4 на 1000 взрослого населения), самый низкий - в Ахтубинском – 20,1. Рост первичной заболеваемости за 5 лет наблюдается в Енотаевском, Икряниском, Красноярском и Черноярском районах. Наибольший рост показателя отмечен в Черноярском районе – на 64,6% (с 53,1 до 87,4 на 1000 взрослого населения). Снижение показателя первичной заболеваемости наблюдается в Наримановском районе – на 62,7% (с 56,8 до 21,2 на 1000 взрослого населения).</w:t>
      </w:r>
    </w:p>
    <w:p w:rsidR="00ED7F17" w:rsidRDefault="00ED7F17" w:rsidP="00ED7F17">
      <w:pPr>
        <w:pStyle w:val="2f"/>
        <w:spacing w:after="0" w:line="276" w:lineRule="auto"/>
        <w:ind w:left="0" w:firstLine="709"/>
        <w:jc w:val="both"/>
        <w:rPr>
          <w:rFonts w:ascii="Times New Roman" w:hAnsi="Times New Roman"/>
          <w:sz w:val="24"/>
          <w:szCs w:val="24"/>
        </w:rPr>
      </w:pPr>
    </w:p>
    <w:tbl>
      <w:tblPr>
        <w:tblW w:w="0" w:type="auto"/>
        <w:tblInd w:w="-30" w:type="dxa"/>
        <w:tblLayout w:type="fixed"/>
        <w:tblLook w:val="04A0" w:firstRow="1" w:lastRow="0" w:firstColumn="1" w:lastColumn="0" w:noHBand="0" w:noVBand="1"/>
      </w:tblPr>
      <w:tblGrid>
        <w:gridCol w:w="2400"/>
        <w:gridCol w:w="745"/>
        <w:gridCol w:w="745"/>
        <w:gridCol w:w="745"/>
        <w:gridCol w:w="745"/>
        <w:gridCol w:w="747"/>
        <w:gridCol w:w="745"/>
        <w:gridCol w:w="745"/>
        <w:gridCol w:w="745"/>
        <w:gridCol w:w="745"/>
        <w:gridCol w:w="777"/>
      </w:tblGrid>
      <w:tr w:rsidR="00ED7F17" w:rsidTr="00ED7F17">
        <w:trPr>
          <w:trHeight w:val="525"/>
        </w:trPr>
        <w:tc>
          <w:tcPr>
            <w:tcW w:w="2400" w:type="dxa"/>
            <w:vMerge w:val="restart"/>
            <w:tcBorders>
              <w:top w:val="single" w:sz="4" w:space="0" w:color="000000"/>
              <w:left w:val="single" w:sz="8"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Наименование территории</w:t>
            </w:r>
          </w:p>
        </w:tc>
        <w:tc>
          <w:tcPr>
            <w:tcW w:w="7484" w:type="dxa"/>
            <w:gridSpan w:val="10"/>
            <w:tcBorders>
              <w:top w:val="single" w:sz="4" w:space="0" w:color="000000"/>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Болезни системы кровообращения</w:t>
            </w:r>
          </w:p>
          <w:p w:rsidR="00ED7F17" w:rsidRDefault="00ED7F17">
            <w:pPr>
              <w:suppressAutoHyphens w:val="0"/>
              <w:jc w:val="center"/>
              <w:rPr>
                <w:rFonts w:ascii="Arial" w:eastAsia="Arial" w:hAnsi="Arial" w:cs="Arial"/>
                <w:sz w:val="22"/>
                <w:szCs w:val="22"/>
              </w:rPr>
            </w:pPr>
            <w:r>
              <w:rPr>
                <w:b/>
                <w:bCs/>
                <w:color w:val="000000"/>
                <w:sz w:val="20"/>
                <w:szCs w:val="20"/>
                <w:lang w:eastAsia="ru-RU"/>
              </w:rPr>
              <w:t>Первичная заболеваемость (взрослые - 18 лет и старше)</w:t>
            </w:r>
          </w:p>
        </w:tc>
      </w:tr>
      <w:tr w:rsidR="00ED7F17" w:rsidTr="00ED7F17">
        <w:trPr>
          <w:trHeight w:val="360"/>
        </w:trPr>
        <w:tc>
          <w:tcPr>
            <w:tcW w:w="2400" w:type="dxa"/>
            <w:vMerge/>
            <w:tcBorders>
              <w:top w:val="single" w:sz="4" w:space="0" w:color="000000"/>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3727" w:type="dxa"/>
            <w:gridSpan w:val="5"/>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Абсолютное количество</w:t>
            </w:r>
          </w:p>
        </w:tc>
        <w:tc>
          <w:tcPr>
            <w:tcW w:w="3757" w:type="dxa"/>
            <w:gridSpan w:val="5"/>
            <w:tcBorders>
              <w:top w:val="single" w:sz="4" w:space="0" w:color="000000"/>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на 1000 взрослого населения</w:t>
            </w:r>
          </w:p>
        </w:tc>
      </w:tr>
      <w:tr w:rsidR="00ED7F17" w:rsidTr="00ED7F17">
        <w:trPr>
          <w:trHeight w:val="525"/>
        </w:trPr>
        <w:tc>
          <w:tcPr>
            <w:tcW w:w="2400" w:type="dxa"/>
            <w:vMerge/>
            <w:tcBorders>
              <w:top w:val="single" w:sz="4" w:space="0" w:color="000000"/>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2014</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2015</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2016</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2017</w:t>
            </w:r>
          </w:p>
        </w:tc>
        <w:tc>
          <w:tcPr>
            <w:tcW w:w="74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2018</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2014</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2015</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2016</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2017</w:t>
            </w:r>
          </w:p>
        </w:tc>
        <w:tc>
          <w:tcPr>
            <w:tcW w:w="777" w:type="dxa"/>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2018</w:t>
            </w:r>
          </w:p>
        </w:tc>
      </w:tr>
      <w:tr w:rsidR="00ED7F17" w:rsidTr="00ED7F17">
        <w:trPr>
          <w:trHeight w:val="315"/>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Ахтубинский район</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1385</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1492</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1135</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1420</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944</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28,6</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30,7</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23,8</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30,2</w:t>
            </w:r>
          </w:p>
        </w:tc>
        <w:tc>
          <w:tcPr>
            <w:tcW w:w="777"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20,1</w:t>
            </w:r>
          </w:p>
        </w:tc>
      </w:tr>
      <w:tr w:rsidR="00ED7F17" w:rsidTr="00ED7F17">
        <w:trPr>
          <w:trHeight w:val="315"/>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Володарский район</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2019</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1765</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1774</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1902</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1359</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56,2</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49,4</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50,2</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54,4</w:t>
            </w:r>
          </w:p>
        </w:tc>
        <w:tc>
          <w:tcPr>
            <w:tcW w:w="777"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39,2</w:t>
            </w:r>
          </w:p>
        </w:tc>
      </w:tr>
      <w:tr w:rsidR="00ED7F17" w:rsidTr="00ED7F17">
        <w:trPr>
          <w:trHeight w:val="315"/>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Енотаевский район</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815</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1112</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1063</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786</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966</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40,4</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55,7</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53,7</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39,9</w:t>
            </w:r>
          </w:p>
        </w:tc>
        <w:tc>
          <w:tcPr>
            <w:tcW w:w="777"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49,6</w:t>
            </w:r>
          </w:p>
        </w:tc>
      </w:tr>
      <w:tr w:rsidR="00ED7F17" w:rsidTr="00ED7F17">
        <w:trPr>
          <w:trHeight w:val="345"/>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Икрянинский район</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1486</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1431</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1472</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1685</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1782</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39,6</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38,4</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39,8</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46,0</w:t>
            </w:r>
          </w:p>
        </w:tc>
        <w:tc>
          <w:tcPr>
            <w:tcW w:w="777"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48,9</w:t>
            </w:r>
          </w:p>
        </w:tc>
      </w:tr>
      <w:tr w:rsidR="00ED7F17" w:rsidTr="00ED7F17">
        <w:trPr>
          <w:trHeight w:val="315"/>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Камызякский район</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3095</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3684</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2755</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2872</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2070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81,1</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97,5</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73,5</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77,4</w:t>
            </w:r>
          </w:p>
        </w:tc>
        <w:tc>
          <w:tcPr>
            <w:tcW w:w="777"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56,4</w:t>
            </w:r>
          </w:p>
        </w:tc>
      </w:tr>
      <w:tr w:rsidR="00ED7F17" w:rsidTr="00ED7F17">
        <w:trPr>
          <w:trHeight w:val="345"/>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Красноярский район</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1009</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959</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916</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746</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1052</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37,2</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35,1</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33,3</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27,0</w:t>
            </w:r>
          </w:p>
        </w:tc>
        <w:tc>
          <w:tcPr>
            <w:tcW w:w="777"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38,1</w:t>
            </w:r>
          </w:p>
        </w:tc>
      </w:tr>
      <w:tr w:rsidR="00ED7F17" w:rsidTr="00ED7F17">
        <w:trPr>
          <w:trHeight w:val="360"/>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Лиманский район</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789</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666</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992</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679</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608</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32,5</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28,0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42,1</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29,1</w:t>
            </w:r>
          </w:p>
        </w:tc>
        <w:tc>
          <w:tcPr>
            <w:tcW w:w="777"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26,6</w:t>
            </w:r>
          </w:p>
        </w:tc>
      </w:tr>
      <w:tr w:rsidR="00ED7F17" w:rsidTr="00ED7F17">
        <w:trPr>
          <w:trHeight w:val="345"/>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Наримановский район</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2046</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917</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1062</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3957</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856</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56,8</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25,3</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29,2</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109,2</w:t>
            </w:r>
          </w:p>
        </w:tc>
        <w:tc>
          <w:tcPr>
            <w:tcW w:w="777"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21,2</w:t>
            </w:r>
          </w:p>
        </w:tc>
      </w:tr>
      <w:tr w:rsidR="00ED7F17" w:rsidTr="00ED7F17">
        <w:trPr>
          <w:trHeight w:val="315"/>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Приволжский район</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785</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807</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1017</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868</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900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22,5</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22,6</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27,9</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23,5</w:t>
            </w:r>
          </w:p>
        </w:tc>
        <w:tc>
          <w:tcPr>
            <w:tcW w:w="777"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20,9</w:t>
            </w:r>
          </w:p>
        </w:tc>
      </w:tr>
      <w:tr w:rsidR="00ED7F17" w:rsidTr="00ED7F17">
        <w:trPr>
          <w:trHeight w:val="315"/>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Харабалинский район</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1527</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801</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671</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927</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1209</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47,9</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25,5</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21,5</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29,8</w:t>
            </w:r>
          </w:p>
        </w:tc>
        <w:tc>
          <w:tcPr>
            <w:tcW w:w="777"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39,1</w:t>
            </w:r>
          </w:p>
        </w:tc>
      </w:tr>
      <w:tr w:rsidR="00ED7F17" w:rsidTr="00ED7F17">
        <w:trPr>
          <w:trHeight w:val="315"/>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Черноярский район</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835</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534</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634</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910</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1012</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53,1</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34,2</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40,9</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59,1</w:t>
            </w:r>
          </w:p>
        </w:tc>
        <w:tc>
          <w:tcPr>
            <w:tcW w:w="777"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87,4</w:t>
            </w:r>
          </w:p>
        </w:tc>
      </w:tr>
      <w:tr w:rsidR="00ED7F17" w:rsidTr="00ED7F17">
        <w:trPr>
          <w:trHeight w:val="315"/>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 xml:space="preserve">г. Знаменск </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1111</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1767</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1605</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456</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539</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42</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68,0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61,9</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17,8</w:t>
            </w:r>
          </w:p>
        </w:tc>
        <w:tc>
          <w:tcPr>
            <w:tcW w:w="777"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21,3</w:t>
            </w:r>
          </w:p>
        </w:tc>
      </w:tr>
      <w:tr w:rsidR="00ED7F17" w:rsidTr="00ED7F17">
        <w:trPr>
          <w:trHeight w:val="315"/>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b/>
                <w:bCs/>
                <w:color w:val="000000"/>
                <w:sz w:val="20"/>
                <w:szCs w:val="20"/>
                <w:lang w:eastAsia="ru-RU"/>
              </w:rPr>
              <w:t>Свод по районам</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16902</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15935</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15096</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17208</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13297</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44,9</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42,4</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40,4</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46,3</w:t>
            </w:r>
          </w:p>
        </w:tc>
        <w:tc>
          <w:tcPr>
            <w:tcW w:w="777"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36,0</w:t>
            </w:r>
          </w:p>
        </w:tc>
      </w:tr>
      <w:tr w:rsidR="00ED7F17" w:rsidTr="00ED7F17">
        <w:trPr>
          <w:trHeight w:val="405"/>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b/>
                <w:bCs/>
                <w:color w:val="000000"/>
                <w:sz w:val="20"/>
                <w:szCs w:val="20"/>
                <w:lang w:eastAsia="ru-RU"/>
              </w:rPr>
              <w:t xml:space="preserve"> г. Астрахань</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24772</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18262</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13312</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13349</w:t>
            </w:r>
          </w:p>
        </w:tc>
        <w:tc>
          <w:tcPr>
            <w:tcW w:w="74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13610</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57,5</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42,4</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31,1</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31,4</w:t>
            </w:r>
          </w:p>
        </w:tc>
        <w:tc>
          <w:tcPr>
            <w:tcW w:w="777" w:type="dxa"/>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32,2</w:t>
            </w:r>
          </w:p>
        </w:tc>
      </w:tr>
      <w:tr w:rsidR="00ED7F17" w:rsidTr="00ED7F17">
        <w:trPr>
          <w:trHeight w:val="315"/>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b/>
                <w:bCs/>
                <w:color w:val="000000"/>
                <w:sz w:val="20"/>
                <w:szCs w:val="20"/>
                <w:lang w:eastAsia="ru-RU"/>
              </w:rPr>
              <w:t>Астраханская область</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41674</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34197</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28408</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30557</w:t>
            </w:r>
          </w:p>
        </w:tc>
        <w:tc>
          <w:tcPr>
            <w:tcW w:w="74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26907</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51,6</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42,4</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35,4</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38,4</w:t>
            </w:r>
          </w:p>
        </w:tc>
        <w:tc>
          <w:tcPr>
            <w:tcW w:w="777" w:type="dxa"/>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33,9</w:t>
            </w:r>
          </w:p>
        </w:tc>
      </w:tr>
    </w:tbl>
    <w:p w:rsidR="00ED7F17" w:rsidRDefault="00ED7F17" w:rsidP="00ED7F17">
      <w:pPr>
        <w:pStyle w:val="2f"/>
        <w:spacing w:after="0" w:line="276" w:lineRule="auto"/>
        <w:ind w:left="0" w:firstLine="709"/>
        <w:jc w:val="both"/>
        <w:rPr>
          <w:rFonts w:ascii="Times New Roman" w:hAnsi="Times New Roman"/>
          <w:sz w:val="24"/>
          <w:szCs w:val="24"/>
        </w:rPr>
      </w:pPr>
    </w:p>
    <w:p w:rsidR="00ED7F17" w:rsidRDefault="00ED7F17" w:rsidP="00ED7F17">
      <w:pPr>
        <w:pStyle w:val="2f"/>
        <w:spacing w:line="276" w:lineRule="auto"/>
        <w:ind w:left="0" w:firstLine="709"/>
        <w:jc w:val="both"/>
      </w:pPr>
      <w:r>
        <w:rPr>
          <w:rFonts w:ascii="Times New Roman" w:hAnsi="Times New Roman"/>
          <w:sz w:val="24"/>
          <w:szCs w:val="24"/>
        </w:rPr>
        <w:t>Общая заболеваемость гипертонической болезнью в 2018 году (</w:t>
      </w:r>
      <w:r>
        <w:rPr>
          <w:rFonts w:ascii="Times New Roman" w:hAnsi="Times New Roman"/>
          <w:sz w:val="24"/>
          <w:szCs w:val="24"/>
          <w:lang w:val="en-US"/>
        </w:rPr>
        <w:t>I</w:t>
      </w:r>
      <w:r>
        <w:rPr>
          <w:rFonts w:ascii="Times New Roman" w:hAnsi="Times New Roman"/>
          <w:sz w:val="24"/>
          <w:szCs w:val="24"/>
        </w:rPr>
        <w:t>10-15) составила 32,8 на 1000 населения, что на 12,9% выше чем в 2014 году (29,0 на 1000 населения). Показатель общей заболеваемости гипертонической болезнью взрослого населения Астраханской области в 2018 году составил 41,9 на 1000 взрослого населения, что на 3,2% выше уровня 2017 года (40,6) и на 15,1% выше уровня 2014 года (36,4).</w:t>
      </w:r>
    </w:p>
    <w:p w:rsidR="00ED7F17" w:rsidRDefault="00ED7F17" w:rsidP="00ED7F17">
      <w:pPr>
        <w:pStyle w:val="2f"/>
        <w:spacing w:line="276" w:lineRule="auto"/>
        <w:ind w:left="0" w:firstLine="709"/>
        <w:jc w:val="both"/>
      </w:pPr>
      <w:r>
        <w:rPr>
          <w:rFonts w:ascii="Times New Roman" w:hAnsi="Times New Roman"/>
          <w:sz w:val="24"/>
          <w:szCs w:val="24"/>
        </w:rPr>
        <w:t>Среди районов Астраханской области наиболее высокий уровень общей заболеваемости гипертонической болезнью наблюдается в Черном яру (138,1 на 1000 взрослого населения), наименьший - в Приволжском районе (24,2). За 5 лет снижение данного показателя отмечается в Ахтубинском, Енотаевском, Красноярском, Наримановском, районах и ЗАТО Знаменск. Наибольшее снижение показателя наблюдается в Енотаевском районе – на 31,0% (с 41,0 до 28,3 на 1000 взрослого населения). В остальных районах и г. Астрахани наблюдается рост данного показателя. Максимальный рост отмечен в Икрянинском районе – на 109,3% (с 17,2 до 36,0 на 1000 взрослого населения), но при этом данный показатель остается ниже уровня среднеобластного (41,9).</w:t>
      </w:r>
    </w:p>
    <w:p w:rsidR="00ED7F17" w:rsidRDefault="00ED7F17" w:rsidP="00ED7F17">
      <w:pPr>
        <w:pStyle w:val="2f"/>
        <w:spacing w:line="276" w:lineRule="auto"/>
        <w:ind w:left="0" w:firstLine="709"/>
        <w:jc w:val="both"/>
        <w:rPr>
          <w:rFonts w:ascii="Times New Roman" w:hAnsi="Times New Roman"/>
          <w:sz w:val="24"/>
          <w:szCs w:val="24"/>
        </w:rPr>
      </w:pPr>
    </w:p>
    <w:tbl>
      <w:tblPr>
        <w:tblW w:w="0" w:type="auto"/>
        <w:tblInd w:w="-30" w:type="dxa"/>
        <w:tblLayout w:type="fixed"/>
        <w:tblLook w:val="04A0" w:firstRow="1" w:lastRow="0" w:firstColumn="1" w:lastColumn="0" w:noHBand="0" w:noVBand="1"/>
      </w:tblPr>
      <w:tblGrid>
        <w:gridCol w:w="2380"/>
        <w:gridCol w:w="753"/>
        <w:gridCol w:w="753"/>
        <w:gridCol w:w="753"/>
        <w:gridCol w:w="753"/>
        <w:gridCol w:w="753"/>
        <w:gridCol w:w="741"/>
        <w:gridCol w:w="743"/>
        <w:gridCol w:w="743"/>
        <w:gridCol w:w="743"/>
        <w:gridCol w:w="769"/>
      </w:tblGrid>
      <w:tr w:rsidR="00ED7F17" w:rsidTr="00ED7F17">
        <w:trPr>
          <w:trHeight w:val="450"/>
        </w:trPr>
        <w:tc>
          <w:tcPr>
            <w:tcW w:w="2380" w:type="dxa"/>
            <w:vMerge w:val="restart"/>
            <w:tcBorders>
              <w:top w:val="single" w:sz="8" w:space="0" w:color="000000"/>
              <w:left w:val="single" w:sz="8"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Наименование территории</w:t>
            </w:r>
          </w:p>
        </w:tc>
        <w:tc>
          <w:tcPr>
            <w:tcW w:w="7504" w:type="dxa"/>
            <w:gridSpan w:val="10"/>
            <w:tcBorders>
              <w:top w:val="single" w:sz="4" w:space="0" w:color="000000"/>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Гипертоническая болезнь</w:t>
            </w:r>
          </w:p>
        </w:tc>
      </w:tr>
      <w:tr w:rsidR="00ED7F17" w:rsidTr="00ED7F17">
        <w:trPr>
          <w:trHeight w:val="525"/>
        </w:trPr>
        <w:tc>
          <w:tcPr>
            <w:tcW w:w="2380" w:type="dxa"/>
            <w:vMerge/>
            <w:tcBorders>
              <w:top w:val="single" w:sz="8" w:space="0" w:color="000000"/>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7504" w:type="dxa"/>
            <w:gridSpan w:val="10"/>
            <w:tcBorders>
              <w:top w:val="single" w:sz="4" w:space="0" w:color="000000"/>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Общая заболеваемость (взрослые - 18 лет и старше)</w:t>
            </w:r>
          </w:p>
        </w:tc>
      </w:tr>
      <w:tr w:rsidR="00ED7F17" w:rsidTr="00ED7F17">
        <w:trPr>
          <w:trHeight w:val="360"/>
        </w:trPr>
        <w:tc>
          <w:tcPr>
            <w:tcW w:w="2380" w:type="dxa"/>
            <w:vMerge/>
            <w:tcBorders>
              <w:top w:val="single" w:sz="8" w:space="0" w:color="000000"/>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3765" w:type="dxa"/>
            <w:gridSpan w:val="5"/>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Абсолютное количество</w:t>
            </w:r>
          </w:p>
        </w:tc>
        <w:tc>
          <w:tcPr>
            <w:tcW w:w="3739" w:type="dxa"/>
            <w:gridSpan w:val="5"/>
            <w:tcBorders>
              <w:top w:val="single" w:sz="4" w:space="0" w:color="000000"/>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на 1000 взрослого населения</w:t>
            </w:r>
          </w:p>
        </w:tc>
      </w:tr>
      <w:tr w:rsidR="00ED7F17" w:rsidTr="00ED7F17">
        <w:trPr>
          <w:trHeight w:val="525"/>
        </w:trPr>
        <w:tc>
          <w:tcPr>
            <w:tcW w:w="2380" w:type="dxa"/>
            <w:vMerge/>
            <w:tcBorders>
              <w:top w:val="single" w:sz="8" w:space="0" w:color="000000"/>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753"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2014</w:t>
            </w:r>
          </w:p>
        </w:tc>
        <w:tc>
          <w:tcPr>
            <w:tcW w:w="753"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2015</w:t>
            </w:r>
          </w:p>
        </w:tc>
        <w:tc>
          <w:tcPr>
            <w:tcW w:w="753"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2016</w:t>
            </w:r>
          </w:p>
        </w:tc>
        <w:tc>
          <w:tcPr>
            <w:tcW w:w="753"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2017</w:t>
            </w:r>
          </w:p>
        </w:tc>
        <w:tc>
          <w:tcPr>
            <w:tcW w:w="753"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2018</w:t>
            </w:r>
          </w:p>
        </w:tc>
        <w:tc>
          <w:tcPr>
            <w:tcW w:w="74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2014</w:t>
            </w:r>
          </w:p>
        </w:tc>
        <w:tc>
          <w:tcPr>
            <w:tcW w:w="743"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2015</w:t>
            </w:r>
          </w:p>
        </w:tc>
        <w:tc>
          <w:tcPr>
            <w:tcW w:w="743"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2016</w:t>
            </w:r>
          </w:p>
        </w:tc>
        <w:tc>
          <w:tcPr>
            <w:tcW w:w="743"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2017</w:t>
            </w:r>
          </w:p>
        </w:tc>
        <w:tc>
          <w:tcPr>
            <w:tcW w:w="769" w:type="dxa"/>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2018</w:t>
            </w:r>
          </w:p>
        </w:tc>
      </w:tr>
      <w:tr w:rsidR="00ED7F17" w:rsidTr="00ED7F17">
        <w:trPr>
          <w:trHeight w:val="315"/>
        </w:trPr>
        <w:tc>
          <w:tcPr>
            <w:tcW w:w="238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Ахтубинский район</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1936</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2003</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1773</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1769</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1691</w:t>
            </w:r>
          </w:p>
        </w:tc>
        <w:tc>
          <w:tcPr>
            <w:tcW w:w="74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40,0</w:t>
            </w:r>
          </w:p>
        </w:tc>
        <w:tc>
          <w:tcPr>
            <w:tcW w:w="74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41,2</w:t>
            </w:r>
          </w:p>
        </w:tc>
        <w:tc>
          <w:tcPr>
            <w:tcW w:w="74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37,1</w:t>
            </w:r>
          </w:p>
        </w:tc>
        <w:tc>
          <w:tcPr>
            <w:tcW w:w="74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37,7</w:t>
            </w:r>
          </w:p>
        </w:tc>
        <w:tc>
          <w:tcPr>
            <w:tcW w:w="769"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36,0</w:t>
            </w:r>
          </w:p>
        </w:tc>
      </w:tr>
      <w:tr w:rsidR="00ED7F17" w:rsidTr="00ED7F17">
        <w:trPr>
          <w:trHeight w:val="315"/>
        </w:trPr>
        <w:tc>
          <w:tcPr>
            <w:tcW w:w="238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Володарский район</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967</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1063</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1181</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1458</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1393</w:t>
            </w:r>
          </w:p>
        </w:tc>
        <w:tc>
          <w:tcPr>
            <w:tcW w:w="74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26,9</w:t>
            </w:r>
          </w:p>
        </w:tc>
        <w:tc>
          <w:tcPr>
            <w:tcW w:w="74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29,8</w:t>
            </w:r>
          </w:p>
        </w:tc>
        <w:tc>
          <w:tcPr>
            <w:tcW w:w="74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33,4</w:t>
            </w:r>
          </w:p>
        </w:tc>
        <w:tc>
          <w:tcPr>
            <w:tcW w:w="74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41,7</w:t>
            </w:r>
          </w:p>
        </w:tc>
        <w:tc>
          <w:tcPr>
            <w:tcW w:w="769"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40,1</w:t>
            </w:r>
          </w:p>
        </w:tc>
      </w:tr>
      <w:tr w:rsidR="00ED7F17" w:rsidTr="00ED7F17">
        <w:trPr>
          <w:trHeight w:val="315"/>
        </w:trPr>
        <w:tc>
          <w:tcPr>
            <w:tcW w:w="238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Енотаевский район</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828</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552</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556</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527</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550</w:t>
            </w:r>
          </w:p>
        </w:tc>
        <w:tc>
          <w:tcPr>
            <w:tcW w:w="74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41,0</w:t>
            </w:r>
          </w:p>
        </w:tc>
        <w:tc>
          <w:tcPr>
            <w:tcW w:w="74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27,7</w:t>
            </w:r>
          </w:p>
        </w:tc>
        <w:tc>
          <w:tcPr>
            <w:tcW w:w="74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28,1</w:t>
            </w:r>
          </w:p>
        </w:tc>
        <w:tc>
          <w:tcPr>
            <w:tcW w:w="74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26,8</w:t>
            </w:r>
          </w:p>
        </w:tc>
        <w:tc>
          <w:tcPr>
            <w:tcW w:w="769"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28,3</w:t>
            </w:r>
          </w:p>
        </w:tc>
      </w:tr>
      <w:tr w:rsidR="00ED7F17" w:rsidTr="00ED7F17">
        <w:trPr>
          <w:trHeight w:val="345"/>
        </w:trPr>
        <w:tc>
          <w:tcPr>
            <w:tcW w:w="238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Икрянинский район</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647</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858</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1195</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1333</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1310</w:t>
            </w:r>
          </w:p>
        </w:tc>
        <w:tc>
          <w:tcPr>
            <w:tcW w:w="74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17,2</w:t>
            </w:r>
          </w:p>
        </w:tc>
        <w:tc>
          <w:tcPr>
            <w:tcW w:w="74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23</w:t>
            </w:r>
          </w:p>
        </w:tc>
        <w:tc>
          <w:tcPr>
            <w:tcW w:w="74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32,3</w:t>
            </w:r>
          </w:p>
        </w:tc>
        <w:tc>
          <w:tcPr>
            <w:tcW w:w="74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36,4</w:t>
            </w:r>
          </w:p>
        </w:tc>
        <w:tc>
          <w:tcPr>
            <w:tcW w:w="769"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36,0</w:t>
            </w:r>
          </w:p>
        </w:tc>
      </w:tr>
      <w:tr w:rsidR="00ED7F17" w:rsidTr="00ED7F17">
        <w:trPr>
          <w:trHeight w:val="315"/>
        </w:trPr>
        <w:tc>
          <w:tcPr>
            <w:tcW w:w="238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Камызякский район</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2263</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2204</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2262</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3221</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2485</w:t>
            </w:r>
          </w:p>
        </w:tc>
        <w:tc>
          <w:tcPr>
            <w:tcW w:w="74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59,3</w:t>
            </w:r>
          </w:p>
        </w:tc>
        <w:tc>
          <w:tcPr>
            <w:tcW w:w="74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58,3</w:t>
            </w:r>
          </w:p>
        </w:tc>
        <w:tc>
          <w:tcPr>
            <w:tcW w:w="74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60,3</w:t>
            </w:r>
          </w:p>
        </w:tc>
        <w:tc>
          <w:tcPr>
            <w:tcW w:w="74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86,8</w:t>
            </w:r>
          </w:p>
        </w:tc>
        <w:tc>
          <w:tcPr>
            <w:tcW w:w="769"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67,7</w:t>
            </w:r>
          </w:p>
        </w:tc>
      </w:tr>
      <w:tr w:rsidR="00ED7F17" w:rsidTr="00ED7F17">
        <w:trPr>
          <w:trHeight w:val="375"/>
        </w:trPr>
        <w:tc>
          <w:tcPr>
            <w:tcW w:w="238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Красноярский район</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1178</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944</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892</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940</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983</w:t>
            </w:r>
          </w:p>
        </w:tc>
        <w:tc>
          <w:tcPr>
            <w:tcW w:w="74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43,4</w:t>
            </w:r>
          </w:p>
        </w:tc>
        <w:tc>
          <w:tcPr>
            <w:tcW w:w="74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34,5</w:t>
            </w:r>
          </w:p>
        </w:tc>
        <w:tc>
          <w:tcPr>
            <w:tcW w:w="74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32,5</w:t>
            </w:r>
          </w:p>
        </w:tc>
        <w:tc>
          <w:tcPr>
            <w:tcW w:w="74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34,1</w:t>
            </w:r>
          </w:p>
        </w:tc>
        <w:tc>
          <w:tcPr>
            <w:tcW w:w="769"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35,6</w:t>
            </w:r>
          </w:p>
        </w:tc>
      </w:tr>
      <w:tr w:rsidR="00ED7F17" w:rsidTr="00ED7F17">
        <w:trPr>
          <w:trHeight w:val="345"/>
        </w:trPr>
        <w:tc>
          <w:tcPr>
            <w:tcW w:w="238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Лиманский район</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866</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1123</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854</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923</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1021</w:t>
            </w:r>
          </w:p>
        </w:tc>
        <w:tc>
          <w:tcPr>
            <w:tcW w:w="74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35,7</w:t>
            </w:r>
          </w:p>
        </w:tc>
        <w:tc>
          <w:tcPr>
            <w:tcW w:w="74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47,2</w:t>
            </w:r>
          </w:p>
        </w:tc>
        <w:tc>
          <w:tcPr>
            <w:tcW w:w="74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36,2</w:t>
            </w:r>
          </w:p>
        </w:tc>
        <w:tc>
          <w:tcPr>
            <w:tcW w:w="74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39,6</w:t>
            </w:r>
          </w:p>
        </w:tc>
        <w:tc>
          <w:tcPr>
            <w:tcW w:w="769"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44,7</w:t>
            </w:r>
          </w:p>
        </w:tc>
      </w:tr>
      <w:tr w:rsidR="00ED7F17" w:rsidTr="00ED7F17">
        <w:trPr>
          <w:trHeight w:val="345"/>
        </w:trPr>
        <w:tc>
          <w:tcPr>
            <w:tcW w:w="238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Наримановский район</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1395</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1200</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1140</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1127</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1135</w:t>
            </w:r>
          </w:p>
        </w:tc>
        <w:tc>
          <w:tcPr>
            <w:tcW w:w="74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38,7</w:t>
            </w:r>
          </w:p>
        </w:tc>
        <w:tc>
          <w:tcPr>
            <w:tcW w:w="74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33,1</w:t>
            </w:r>
          </w:p>
        </w:tc>
        <w:tc>
          <w:tcPr>
            <w:tcW w:w="74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31,4</w:t>
            </w:r>
          </w:p>
        </w:tc>
        <w:tc>
          <w:tcPr>
            <w:tcW w:w="74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31,1</w:t>
            </w:r>
          </w:p>
        </w:tc>
        <w:tc>
          <w:tcPr>
            <w:tcW w:w="769"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28,1</w:t>
            </w:r>
          </w:p>
        </w:tc>
      </w:tr>
      <w:tr w:rsidR="00ED7F17" w:rsidTr="00ED7F17">
        <w:trPr>
          <w:trHeight w:val="315"/>
        </w:trPr>
        <w:tc>
          <w:tcPr>
            <w:tcW w:w="238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Приволжский район</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767</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844</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800</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885</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1041</w:t>
            </w:r>
          </w:p>
        </w:tc>
        <w:tc>
          <w:tcPr>
            <w:tcW w:w="74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22,0</w:t>
            </w:r>
          </w:p>
        </w:tc>
        <w:tc>
          <w:tcPr>
            <w:tcW w:w="74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23,6</w:t>
            </w:r>
          </w:p>
        </w:tc>
        <w:tc>
          <w:tcPr>
            <w:tcW w:w="74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21,9</w:t>
            </w:r>
          </w:p>
        </w:tc>
        <w:tc>
          <w:tcPr>
            <w:tcW w:w="74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24,0</w:t>
            </w:r>
          </w:p>
        </w:tc>
        <w:tc>
          <w:tcPr>
            <w:tcW w:w="769"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24,2</w:t>
            </w:r>
          </w:p>
        </w:tc>
      </w:tr>
      <w:tr w:rsidR="00ED7F17" w:rsidTr="00ED7F17">
        <w:trPr>
          <w:trHeight w:val="315"/>
        </w:trPr>
        <w:tc>
          <w:tcPr>
            <w:tcW w:w="238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Харабалинский район</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1057</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1033</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1158</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1211</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1286</w:t>
            </w:r>
          </w:p>
        </w:tc>
        <w:tc>
          <w:tcPr>
            <w:tcW w:w="74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33,2</w:t>
            </w:r>
          </w:p>
        </w:tc>
        <w:tc>
          <w:tcPr>
            <w:tcW w:w="74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32,9</w:t>
            </w:r>
          </w:p>
        </w:tc>
        <w:tc>
          <w:tcPr>
            <w:tcW w:w="74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37,1</w:t>
            </w:r>
          </w:p>
        </w:tc>
        <w:tc>
          <w:tcPr>
            <w:tcW w:w="74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39,0</w:t>
            </w:r>
          </w:p>
        </w:tc>
        <w:tc>
          <w:tcPr>
            <w:tcW w:w="769"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41,6</w:t>
            </w:r>
          </w:p>
        </w:tc>
      </w:tr>
      <w:tr w:rsidR="00ED7F17" w:rsidTr="00ED7F17">
        <w:trPr>
          <w:trHeight w:val="315"/>
        </w:trPr>
        <w:tc>
          <w:tcPr>
            <w:tcW w:w="238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Черноярский район</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1850</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1643</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1438</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1590</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1600</w:t>
            </w:r>
          </w:p>
        </w:tc>
        <w:tc>
          <w:tcPr>
            <w:tcW w:w="74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117,6</w:t>
            </w:r>
          </w:p>
        </w:tc>
        <w:tc>
          <w:tcPr>
            <w:tcW w:w="74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105,2</w:t>
            </w:r>
          </w:p>
        </w:tc>
        <w:tc>
          <w:tcPr>
            <w:tcW w:w="74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92,8</w:t>
            </w:r>
          </w:p>
        </w:tc>
        <w:tc>
          <w:tcPr>
            <w:tcW w:w="74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103,3</w:t>
            </w:r>
          </w:p>
        </w:tc>
        <w:tc>
          <w:tcPr>
            <w:tcW w:w="769"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138,1</w:t>
            </w:r>
          </w:p>
        </w:tc>
      </w:tr>
      <w:tr w:rsidR="00ED7F17" w:rsidTr="00ED7F17">
        <w:trPr>
          <w:trHeight w:val="315"/>
        </w:trPr>
        <w:tc>
          <w:tcPr>
            <w:tcW w:w="238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 xml:space="preserve">г. Знаменск </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1018</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656</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690</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736</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810</w:t>
            </w:r>
          </w:p>
        </w:tc>
        <w:tc>
          <w:tcPr>
            <w:tcW w:w="74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38,5</w:t>
            </w:r>
          </w:p>
        </w:tc>
        <w:tc>
          <w:tcPr>
            <w:tcW w:w="74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25,2</w:t>
            </w:r>
          </w:p>
        </w:tc>
        <w:tc>
          <w:tcPr>
            <w:tcW w:w="74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26,6</w:t>
            </w:r>
          </w:p>
        </w:tc>
        <w:tc>
          <w:tcPr>
            <w:tcW w:w="74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28,7</w:t>
            </w:r>
          </w:p>
        </w:tc>
        <w:tc>
          <w:tcPr>
            <w:tcW w:w="769"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32,0</w:t>
            </w:r>
          </w:p>
        </w:tc>
      </w:tr>
      <w:tr w:rsidR="00ED7F17" w:rsidTr="00ED7F17">
        <w:trPr>
          <w:trHeight w:val="405"/>
        </w:trPr>
        <w:tc>
          <w:tcPr>
            <w:tcW w:w="238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bCs/>
                <w:color w:val="000000"/>
                <w:sz w:val="20"/>
                <w:szCs w:val="20"/>
                <w:lang w:eastAsia="ru-RU"/>
              </w:rPr>
              <w:t xml:space="preserve"> г. Астрахань</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14647</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14250</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15252</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16631</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17912</w:t>
            </w:r>
          </w:p>
        </w:tc>
        <w:tc>
          <w:tcPr>
            <w:tcW w:w="74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34,0</w:t>
            </w:r>
          </w:p>
        </w:tc>
        <w:tc>
          <w:tcPr>
            <w:tcW w:w="74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33,1</w:t>
            </w:r>
          </w:p>
        </w:tc>
        <w:tc>
          <w:tcPr>
            <w:tcW w:w="74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35,6</w:t>
            </w:r>
          </w:p>
        </w:tc>
        <w:tc>
          <w:tcPr>
            <w:tcW w:w="74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39,1</w:t>
            </w:r>
          </w:p>
        </w:tc>
        <w:tc>
          <w:tcPr>
            <w:tcW w:w="769"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42,3</w:t>
            </w:r>
          </w:p>
        </w:tc>
      </w:tr>
      <w:tr w:rsidR="00ED7F17" w:rsidTr="00ED7F17">
        <w:trPr>
          <w:trHeight w:val="315"/>
        </w:trPr>
        <w:tc>
          <w:tcPr>
            <w:tcW w:w="238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b/>
                <w:bCs/>
                <w:color w:val="000000"/>
                <w:sz w:val="20"/>
                <w:szCs w:val="20"/>
                <w:lang w:eastAsia="ru-RU"/>
              </w:rPr>
              <w:t>Астраханская область</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29419</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28373</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29191</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32351</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33217</w:t>
            </w:r>
          </w:p>
        </w:tc>
        <w:tc>
          <w:tcPr>
            <w:tcW w:w="74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36,4</w:t>
            </w:r>
          </w:p>
        </w:tc>
        <w:tc>
          <w:tcPr>
            <w:tcW w:w="74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35,2</w:t>
            </w:r>
          </w:p>
        </w:tc>
        <w:tc>
          <w:tcPr>
            <w:tcW w:w="74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36,6</w:t>
            </w:r>
          </w:p>
        </w:tc>
        <w:tc>
          <w:tcPr>
            <w:tcW w:w="74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40,6</w:t>
            </w:r>
          </w:p>
        </w:tc>
        <w:tc>
          <w:tcPr>
            <w:tcW w:w="769"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41,9</w:t>
            </w:r>
          </w:p>
        </w:tc>
      </w:tr>
    </w:tbl>
    <w:p w:rsidR="00ED7F17" w:rsidRDefault="00ED7F17" w:rsidP="00ED7F17">
      <w:pPr>
        <w:pStyle w:val="2f"/>
        <w:spacing w:line="276" w:lineRule="auto"/>
        <w:ind w:left="0" w:firstLine="709"/>
        <w:jc w:val="both"/>
        <w:rPr>
          <w:rFonts w:ascii="Times New Roman" w:hAnsi="Times New Roman"/>
          <w:sz w:val="24"/>
          <w:szCs w:val="24"/>
        </w:rPr>
      </w:pPr>
    </w:p>
    <w:p w:rsidR="00ED7F17" w:rsidRDefault="00ED7F17" w:rsidP="00ED7F17">
      <w:pPr>
        <w:pStyle w:val="2f"/>
        <w:spacing w:line="276" w:lineRule="auto"/>
        <w:ind w:left="0" w:firstLine="709"/>
        <w:jc w:val="both"/>
      </w:pPr>
      <w:r>
        <w:rPr>
          <w:rFonts w:ascii="Times New Roman" w:hAnsi="Times New Roman"/>
          <w:sz w:val="24"/>
          <w:szCs w:val="24"/>
        </w:rPr>
        <w:t>Первичная заболеваемость гипертонической болезнью населения Астраханской области составила 4,1 на 1000 населения, что на 41,2% ниже уровня 2014 года (10,3 на 1000 населения). Первичная заболеваемость взрослого населения гипертонической болезнью в 2018 году составила 5,3 на 1000 взрослого населения, что на 20,9%ниже уровня 2017 года (6,7) и на 57,9% ниже уровня 2014 года (12,6).</w:t>
      </w:r>
    </w:p>
    <w:p w:rsidR="00ED7F17" w:rsidRDefault="00ED7F17" w:rsidP="00ED7F17">
      <w:pPr>
        <w:pStyle w:val="2f"/>
        <w:spacing w:line="276" w:lineRule="auto"/>
        <w:ind w:left="0" w:firstLine="709"/>
        <w:jc w:val="both"/>
      </w:pPr>
      <w:r>
        <w:rPr>
          <w:rFonts w:ascii="Times New Roman" w:hAnsi="Times New Roman"/>
          <w:sz w:val="24"/>
          <w:szCs w:val="24"/>
        </w:rPr>
        <w:t>Среди районов Астраханской области наиболее высокий уровень первичной заболеваемости гипертонической болезнью также наблюдается в Черном яру (12,6 на 1000 взрослого населения), наименьший - в Володарском районе и ЗАТО Знаменск (2,9). За 5 лет снижение данного показателя отмечается в Ахтубинском, Володарском, Енотаевском, Камызякском, Красноярском, Лиманском, Наримановском, Харабалинском районах, ЗАТО Знаменск и г. Астрахани. Наибольшее снижение показателя наблюдается в ЗАТО Знаменск  – на 83,9% (с 18,0 до 2,9 на 1000 взрослого населения). В остальных районах и наблюдается рост данного показателя. Максимальный рост отмечен в Приволжском районе – на 43,5% (с 4,6 до 6,6 на 1000 взрослого населения), при этом данный показатель выше уровня среднеобластного (5,3).</w:t>
      </w:r>
    </w:p>
    <w:p w:rsidR="00ED7F17" w:rsidRDefault="00ED7F17" w:rsidP="00ED7F17">
      <w:pPr>
        <w:pStyle w:val="2f"/>
        <w:spacing w:line="276" w:lineRule="auto"/>
        <w:ind w:left="0"/>
        <w:jc w:val="center"/>
        <w:rPr>
          <w:rFonts w:ascii="Times New Roman" w:hAnsi="Times New Roman"/>
          <w:sz w:val="24"/>
          <w:szCs w:val="24"/>
        </w:rPr>
      </w:pPr>
    </w:p>
    <w:tbl>
      <w:tblPr>
        <w:tblW w:w="0" w:type="auto"/>
        <w:tblInd w:w="-30" w:type="dxa"/>
        <w:tblLayout w:type="fixed"/>
        <w:tblLook w:val="04A0" w:firstRow="1" w:lastRow="0" w:firstColumn="1" w:lastColumn="0" w:noHBand="0" w:noVBand="1"/>
      </w:tblPr>
      <w:tblGrid>
        <w:gridCol w:w="2398"/>
        <w:gridCol w:w="753"/>
        <w:gridCol w:w="745"/>
        <w:gridCol w:w="745"/>
        <w:gridCol w:w="745"/>
        <w:gridCol w:w="745"/>
        <w:gridCol w:w="745"/>
        <w:gridCol w:w="745"/>
        <w:gridCol w:w="745"/>
        <w:gridCol w:w="745"/>
        <w:gridCol w:w="773"/>
      </w:tblGrid>
      <w:tr w:rsidR="00ED7F17" w:rsidTr="00ED7F17">
        <w:trPr>
          <w:trHeight w:val="525"/>
        </w:trPr>
        <w:tc>
          <w:tcPr>
            <w:tcW w:w="2398" w:type="dxa"/>
            <w:vMerge w:val="restart"/>
            <w:tcBorders>
              <w:top w:val="single" w:sz="4" w:space="0" w:color="000000"/>
              <w:left w:val="single" w:sz="8"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Наименование территории</w:t>
            </w:r>
          </w:p>
        </w:tc>
        <w:tc>
          <w:tcPr>
            <w:tcW w:w="7486" w:type="dxa"/>
            <w:gridSpan w:val="10"/>
            <w:tcBorders>
              <w:top w:val="single" w:sz="4" w:space="0" w:color="000000"/>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Гипертоническая болезнь</w:t>
            </w:r>
          </w:p>
          <w:p w:rsidR="00ED7F17" w:rsidRDefault="00ED7F17">
            <w:pPr>
              <w:suppressAutoHyphens w:val="0"/>
              <w:jc w:val="center"/>
              <w:rPr>
                <w:rFonts w:ascii="Arial" w:eastAsia="Arial" w:hAnsi="Arial" w:cs="Arial"/>
                <w:sz w:val="22"/>
                <w:szCs w:val="22"/>
              </w:rPr>
            </w:pPr>
            <w:r>
              <w:rPr>
                <w:b/>
                <w:bCs/>
                <w:color w:val="000000"/>
                <w:sz w:val="20"/>
                <w:szCs w:val="20"/>
                <w:lang w:eastAsia="ru-RU"/>
              </w:rPr>
              <w:t>Первичная заболеваемость (взрослые - 18 лет и старше)</w:t>
            </w:r>
          </w:p>
        </w:tc>
      </w:tr>
      <w:tr w:rsidR="00ED7F17" w:rsidTr="00ED7F17">
        <w:trPr>
          <w:trHeight w:val="360"/>
        </w:trPr>
        <w:tc>
          <w:tcPr>
            <w:tcW w:w="2398" w:type="dxa"/>
            <w:vMerge/>
            <w:tcBorders>
              <w:top w:val="single" w:sz="4" w:space="0" w:color="000000"/>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3733" w:type="dxa"/>
            <w:gridSpan w:val="5"/>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Абсолютное количество</w:t>
            </w:r>
          </w:p>
        </w:tc>
        <w:tc>
          <w:tcPr>
            <w:tcW w:w="3753" w:type="dxa"/>
            <w:gridSpan w:val="5"/>
            <w:tcBorders>
              <w:top w:val="single" w:sz="4" w:space="0" w:color="000000"/>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на 1000 взрослого населения</w:t>
            </w:r>
          </w:p>
        </w:tc>
      </w:tr>
      <w:tr w:rsidR="00ED7F17" w:rsidTr="00ED7F17">
        <w:trPr>
          <w:trHeight w:val="525"/>
        </w:trPr>
        <w:tc>
          <w:tcPr>
            <w:tcW w:w="2398" w:type="dxa"/>
            <w:vMerge/>
            <w:tcBorders>
              <w:top w:val="single" w:sz="4" w:space="0" w:color="000000"/>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753"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2014</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2015</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2016</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2017</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2018</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2014</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2015</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2016</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2017</w:t>
            </w:r>
          </w:p>
        </w:tc>
        <w:tc>
          <w:tcPr>
            <w:tcW w:w="773" w:type="dxa"/>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2018</w:t>
            </w:r>
          </w:p>
        </w:tc>
      </w:tr>
      <w:tr w:rsidR="00ED7F17" w:rsidTr="00ED7F17">
        <w:trPr>
          <w:trHeight w:val="315"/>
        </w:trPr>
        <w:tc>
          <w:tcPr>
            <w:tcW w:w="2398"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Ахтубинский район</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267</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147</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178</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85</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166</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5,5</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3,02</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3,7</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1,8</w:t>
            </w:r>
          </w:p>
        </w:tc>
        <w:tc>
          <w:tcPr>
            <w:tcW w:w="773"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3,5</w:t>
            </w:r>
          </w:p>
        </w:tc>
      </w:tr>
      <w:tr w:rsidR="00ED7F17" w:rsidTr="00ED7F17">
        <w:trPr>
          <w:trHeight w:val="315"/>
        </w:trPr>
        <w:tc>
          <w:tcPr>
            <w:tcW w:w="2398"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Володарский район</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167</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272</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582</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317</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4,6</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7,61</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16,5</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9,1</w:t>
            </w:r>
          </w:p>
        </w:tc>
        <w:tc>
          <w:tcPr>
            <w:tcW w:w="773"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2,9</w:t>
            </w:r>
          </w:p>
        </w:tc>
      </w:tr>
      <w:tr w:rsidR="00ED7F17" w:rsidTr="00ED7F17">
        <w:trPr>
          <w:trHeight w:val="315"/>
        </w:trPr>
        <w:tc>
          <w:tcPr>
            <w:tcW w:w="2398"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Енотаевский район</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305</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172</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172</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15</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59</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15,1</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8,62</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8,7</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0,8</w:t>
            </w:r>
          </w:p>
        </w:tc>
        <w:tc>
          <w:tcPr>
            <w:tcW w:w="773"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w:t>
            </w:r>
          </w:p>
        </w:tc>
      </w:tr>
      <w:tr w:rsidR="00ED7F17" w:rsidTr="00ED7F17">
        <w:trPr>
          <w:trHeight w:val="345"/>
        </w:trPr>
        <w:tc>
          <w:tcPr>
            <w:tcW w:w="2398"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Икрянинский район</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160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296</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165</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205</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161</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4,3</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7,94</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4,5</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5,6</w:t>
            </w:r>
          </w:p>
        </w:tc>
        <w:tc>
          <w:tcPr>
            <w:tcW w:w="773"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4,4</w:t>
            </w:r>
          </w:p>
        </w:tc>
      </w:tr>
      <w:tr w:rsidR="00ED7F17" w:rsidTr="00ED7F17">
        <w:trPr>
          <w:trHeight w:val="315"/>
        </w:trPr>
        <w:tc>
          <w:tcPr>
            <w:tcW w:w="2398"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Камызякский район</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700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498</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753</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936</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457</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18,3</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13,18</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20,1</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25,2</w:t>
            </w:r>
          </w:p>
        </w:tc>
        <w:tc>
          <w:tcPr>
            <w:tcW w:w="773"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12,5</w:t>
            </w:r>
          </w:p>
        </w:tc>
      </w:tr>
      <w:tr w:rsidR="00ED7F17" w:rsidTr="00ED7F17">
        <w:trPr>
          <w:trHeight w:val="375"/>
        </w:trPr>
        <w:tc>
          <w:tcPr>
            <w:tcW w:w="2398"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Красноярский район</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330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172</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119</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109</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116</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12,2</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6,29</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4,3</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4,0</w:t>
            </w:r>
          </w:p>
        </w:tc>
        <w:tc>
          <w:tcPr>
            <w:tcW w:w="773"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4,2</w:t>
            </w:r>
          </w:p>
        </w:tc>
      </w:tr>
      <w:tr w:rsidR="00ED7F17" w:rsidTr="00ED7F17">
        <w:trPr>
          <w:trHeight w:val="345"/>
        </w:trPr>
        <w:tc>
          <w:tcPr>
            <w:tcW w:w="2398"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Лиманский район</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126</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182</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105</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5,2</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5,04</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7,7</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4,5</w:t>
            </w:r>
          </w:p>
        </w:tc>
        <w:tc>
          <w:tcPr>
            <w:tcW w:w="773"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4,8</w:t>
            </w:r>
          </w:p>
        </w:tc>
      </w:tr>
      <w:tr w:rsidR="00ED7F17" w:rsidTr="00ED7F17">
        <w:trPr>
          <w:trHeight w:val="345"/>
        </w:trPr>
        <w:tc>
          <w:tcPr>
            <w:tcW w:w="2398"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Наримановский район</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605</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274</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252</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81</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126</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16,8</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7,55</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6,9</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2,2</w:t>
            </w:r>
          </w:p>
        </w:tc>
        <w:tc>
          <w:tcPr>
            <w:tcW w:w="773"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3,1</w:t>
            </w:r>
          </w:p>
        </w:tc>
      </w:tr>
      <w:tr w:rsidR="00ED7F17" w:rsidTr="00ED7F17">
        <w:trPr>
          <w:trHeight w:val="315"/>
        </w:trPr>
        <w:tc>
          <w:tcPr>
            <w:tcW w:w="2398"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Приволжский район</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161</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208</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337</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239</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284</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4,6</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5,82</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9,2</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6,5</w:t>
            </w:r>
          </w:p>
        </w:tc>
        <w:tc>
          <w:tcPr>
            <w:tcW w:w="773"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6,6</w:t>
            </w:r>
          </w:p>
        </w:tc>
      </w:tr>
      <w:tr w:rsidR="00ED7F17" w:rsidTr="00ED7F17">
        <w:trPr>
          <w:trHeight w:val="315"/>
        </w:trPr>
        <w:tc>
          <w:tcPr>
            <w:tcW w:w="2398"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Харабалинский район</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383</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232</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155</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117</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7,39</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3,5</w:t>
            </w:r>
          </w:p>
        </w:tc>
        <w:tc>
          <w:tcPr>
            <w:tcW w:w="773"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3,8</w:t>
            </w:r>
          </w:p>
        </w:tc>
      </w:tr>
      <w:tr w:rsidR="00ED7F17" w:rsidTr="00ED7F17">
        <w:trPr>
          <w:trHeight w:val="315"/>
        </w:trPr>
        <w:tc>
          <w:tcPr>
            <w:tcW w:w="2398"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Черноярский район</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180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99</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174</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231</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146</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11,4</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6,34</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11,2</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15,0</w:t>
            </w:r>
          </w:p>
        </w:tc>
        <w:tc>
          <w:tcPr>
            <w:tcW w:w="773"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12,6</w:t>
            </w:r>
          </w:p>
        </w:tc>
      </w:tr>
      <w:tr w:rsidR="00ED7F17" w:rsidTr="00ED7F17">
        <w:trPr>
          <w:trHeight w:val="315"/>
        </w:trPr>
        <w:tc>
          <w:tcPr>
            <w:tcW w:w="2398"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 xml:space="preserve">г. Знаменск </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477</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137</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156</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74</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18</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5,27</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2,7</w:t>
            </w:r>
          </w:p>
        </w:tc>
        <w:tc>
          <w:tcPr>
            <w:tcW w:w="773"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2,9</w:t>
            </w:r>
          </w:p>
        </w:tc>
      </w:tr>
      <w:tr w:rsidR="00ED7F17" w:rsidTr="00ED7F17">
        <w:trPr>
          <w:trHeight w:val="405"/>
        </w:trPr>
        <w:tc>
          <w:tcPr>
            <w:tcW w:w="2398"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bCs/>
                <w:color w:val="000000"/>
                <w:sz w:val="20"/>
                <w:szCs w:val="20"/>
                <w:lang w:eastAsia="ru-RU"/>
              </w:rPr>
              <w:t xml:space="preserve"> г. Астрахань</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6292</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3330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1053</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2802</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2260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14,6</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7,73</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2,5</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6,6</w:t>
            </w:r>
          </w:p>
        </w:tc>
        <w:tc>
          <w:tcPr>
            <w:tcW w:w="773"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5,3</w:t>
            </w:r>
          </w:p>
        </w:tc>
      </w:tr>
      <w:tr w:rsidR="00ED7F17" w:rsidTr="00ED7F17">
        <w:trPr>
          <w:trHeight w:val="315"/>
        </w:trPr>
        <w:tc>
          <w:tcPr>
            <w:tcW w:w="2398"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b/>
                <w:bCs/>
                <w:color w:val="000000"/>
                <w:sz w:val="20"/>
                <w:szCs w:val="20"/>
                <w:lang w:eastAsia="ru-RU"/>
              </w:rPr>
              <w:t>Астраханская область</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10153</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5957</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4278</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5305</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4176</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12,6</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7,39</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5,4</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6,7</w:t>
            </w:r>
          </w:p>
        </w:tc>
        <w:tc>
          <w:tcPr>
            <w:tcW w:w="773"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5,3</w:t>
            </w:r>
          </w:p>
        </w:tc>
      </w:tr>
    </w:tbl>
    <w:p w:rsidR="00ED7F17" w:rsidRDefault="00ED7F17" w:rsidP="00ED7F17">
      <w:pPr>
        <w:pStyle w:val="2f"/>
        <w:spacing w:line="276" w:lineRule="auto"/>
        <w:ind w:left="0" w:firstLine="709"/>
        <w:jc w:val="both"/>
      </w:pPr>
    </w:p>
    <w:p w:rsidR="00ED7F17" w:rsidRDefault="00ED7F17" w:rsidP="00ED7F17">
      <w:pPr>
        <w:pStyle w:val="2f"/>
        <w:spacing w:line="276" w:lineRule="auto"/>
        <w:ind w:left="0" w:firstLine="709"/>
        <w:jc w:val="both"/>
      </w:pPr>
      <w:r>
        <w:rPr>
          <w:rFonts w:ascii="Times New Roman" w:hAnsi="Times New Roman"/>
          <w:sz w:val="24"/>
          <w:szCs w:val="24"/>
        </w:rPr>
        <w:t>Показатели общей и первичной заболеваемость инфарктом миокарда (</w:t>
      </w:r>
      <w:r>
        <w:rPr>
          <w:rFonts w:ascii="Times New Roman" w:hAnsi="Times New Roman"/>
          <w:sz w:val="24"/>
          <w:szCs w:val="24"/>
          <w:lang w:val="en-US"/>
        </w:rPr>
        <w:t>I</w:t>
      </w:r>
      <w:r>
        <w:rPr>
          <w:rFonts w:ascii="Times New Roman" w:hAnsi="Times New Roman"/>
          <w:sz w:val="24"/>
          <w:szCs w:val="24"/>
        </w:rPr>
        <w:t>21-22) идентичны и в 2018 году составили 1,5 на 1000 населения, что на 10,6% ниже уровня 2014 года (1,7 на 1000 населения). Показатели по общей и первичной заболеваемости инфарктом миокарда взрослого населения и в 2018 году составили 1,9 на 1000 взрослого населения, что на 10,2% ниже чем в 2017 году(2,2) и на 9,0% ниже, чем 2014 году (2,1).</w:t>
      </w:r>
    </w:p>
    <w:p w:rsidR="00ED7F17" w:rsidRDefault="00ED7F17" w:rsidP="00ED7F17">
      <w:pPr>
        <w:pStyle w:val="2f"/>
        <w:spacing w:line="276" w:lineRule="auto"/>
        <w:ind w:left="0" w:firstLine="709"/>
        <w:jc w:val="both"/>
      </w:pPr>
      <w:r>
        <w:rPr>
          <w:rFonts w:ascii="Times New Roman" w:hAnsi="Times New Roman"/>
          <w:sz w:val="24"/>
          <w:szCs w:val="24"/>
        </w:rPr>
        <w:t>Среди районов Астраханской области наиболее высокий уровень первичной и общей заболеваемости инфарктом миокарда наблюдается в Лиманском районе (2,6 на 1000 взрослого населения), наименьший - в Красноярском районе (1,9). За 5 лет снижение данного показателя отмечается в Ахтубинском, Икрянинском, Камызякском, Наримановском, Приволжском, Харабалинском, Черноярском районах, г. Астрахани. Наибольшее снижение показателя наблюдается в Икрянинском районе  – на 39,1% (с 3,0 до 1,8 на 1000 взрослого населения). В остальных районах и наблюдается рост данного показателя. Максимальный рост отмечен в Енотаевском районе – на 65,8% (с 1,5 до 2,5 на 1000 взрослого населения), при этом данный показатель выше уровня среднеобластного (1,9).</w:t>
      </w:r>
    </w:p>
    <w:p w:rsidR="00ED7F17" w:rsidRDefault="00ED7F17" w:rsidP="00ED7F17">
      <w:pPr>
        <w:pStyle w:val="2f"/>
        <w:spacing w:line="276" w:lineRule="auto"/>
        <w:ind w:left="0" w:firstLine="709"/>
        <w:jc w:val="both"/>
        <w:rPr>
          <w:rFonts w:ascii="Times New Roman" w:hAnsi="Times New Roman"/>
          <w:sz w:val="24"/>
          <w:szCs w:val="24"/>
        </w:rPr>
      </w:pPr>
    </w:p>
    <w:tbl>
      <w:tblPr>
        <w:tblW w:w="0" w:type="auto"/>
        <w:tblInd w:w="-30" w:type="dxa"/>
        <w:tblLayout w:type="fixed"/>
        <w:tblLook w:val="04A0" w:firstRow="1" w:lastRow="0" w:firstColumn="1" w:lastColumn="0" w:noHBand="0" w:noVBand="1"/>
      </w:tblPr>
      <w:tblGrid>
        <w:gridCol w:w="2372"/>
        <w:gridCol w:w="753"/>
        <w:gridCol w:w="749"/>
        <w:gridCol w:w="749"/>
        <w:gridCol w:w="749"/>
        <w:gridCol w:w="749"/>
        <w:gridCol w:w="749"/>
        <w:gridCol w:w="753"/>
        <w:gridCol w:w="749"/>
        <w:gridCol w:w="749"/>
        <w:gridCol w:w="733"/>
        <w:gridCol w:w="30"/>
      </w:tblGrid>
      <w:tr w:rsidR="00ED7F17" w:rsidTr="00ED7F17">
        <w:trPr>
          <w:gridAfter w:val="1"/>
          <w:wAfter w:w="30" w:type="dxa"/>
          <w:trHeight w:val="450"/>
        </w:trPr>
        <w:tc>
          <w:tcPr>
            <w:tcW w:w="2372" w:type="dxa"/>
            <w:vMerge w:val="restart"/>
            <w:tcBorders>
              <w:top w:val="single" w:sz="8" w:space="0" w:color="000000"/>
              <w:left w:val="single" w:sz="8"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Наименование территории</w:t>
            </w:r>
          </w:p>
        </w:tc>
        <w:tc>
          <w:tcPr>
            <w:tcW w:w="7482" w:type="dxa"/>
            <w:gridSpan w:val="10"/>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Инфаркт миокарда (острый и повторный)</w:t>
            </w:r>
          </w:p>
        </w:tc>
      </w:tr>
      <w:tr w:rsidR="00ED7F17" w:rsidTr="00ED7F17">
        <w:trPr>
          <w:trHeight w:val="525"/>
        </w:trPr>
        <w:tc>
          <w:tcPr>
            <w:tcW w:w="2372" w:type="dxa"/>
            <w:vMerge/>
            <w:tcBorders>
              <w:top w:val="single" w:sz="8" w:space="0" w:color="000000"/>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7512" w:type="dxa"/>
            <w:gridSpan w:val="11"/>
            <w:tcBorders>
              <w:top w:val="single" w:sz="4" w:space="0" w:color="000000"/>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Заболеваемость (взрослые - 18 лет и старше)</w:t>
            </w:r>
          </w:p>
        </w:tc>
      </w:tr>
      <w:tr w:rsidR="00ED7F17" w:rsidTr="00ED7F17">
        <w:trPr>
          <w:trHeight w:val="360"/>
        </w:trPr>
        <w:tc>
          <w:tcPr>
            <w:tcW w:w="2372" w:type="dxa"/>
            <w:vMerge/>
            <w:tcBorders>
              <w:top w:val="single" w:sz="8" w:space="0" w:color="000000"/>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3749" w:type="dxa"/>
            <w:gridSpan w:val="5"/>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Абсолютное количество</w:t>
            </w:r>
          </w:p>
        </w:tc>
        <w:tc>
          <w:tcPr>
            <w:tcW w:w="3763" w:type="dxa"/>
            <w:gridSpan w:val="6"/>
            <w:tcBorders>
              <w:top w:val="single" w:sz="4" w:space="0" w:color="000000"/>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на 1000 взрослого населения</w:t>
            </w:r>
          </w:p>
        </w:tc>
      </w:tr>
      <w:tr w:rsidR="00ED7F17" w:rsidTr="00ED7F17">
        <w:trPr>
          <w:trHeight w:val="525"/>
        </w:trPr>
        <w:tc>
          <w:tcPr>
            <w:tcW w:w="2372" w:type="dxa"/>
            <w:vMerge/>
            <w:tcBorders>
              <w:top w:val="single" w:sz="8" w:space="0" w:color="000000"/>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753"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2014</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2015</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2016</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2017</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2018</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2014</w:t>
            </w:r>
          </w:p>
        </w:tc>
        <w:tc>
          <w:tcPr>
            <w:tcW w:w="753"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2015</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2016</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2017</w:t>
            </w:r>
          </w:p>
        </w:tc>
        <w:tc>
          <w:tcPr>
            <w:tcW w:w="763"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2018</w:t>
            </w:r>
          </w:p>
        </w:tc>
      </w:tr>
      <w:tr w:rsidR="00ED7F17" w:rsidTr="00ED7F17">
        <w:trPr>
          <w:trHeight w:val="315"/>
        </w:trPr>
        <w:tc>
          <w:tcPr>
            <w:tcW w:w="2372"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Ахтубинский район</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112</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133</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74</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88</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97</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2,3</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2,7</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1,6</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1,9</w:t>
            </w:r>
          </w:p>
        </w:tc>
        <w:tc>
          <w:tcPr>
            <w:tcW w:w="763"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2,1</w:t>
            </w:r>
          </w:p>
        </w:tc>
      </w:tr>
      <w:tr w:rsidR="00ED7F17" w:rsidTr="00ED7F17">
        <w:trPr>
          <w:trHeight w:val="315"/>
        </w:trPr>
        <w:tc>
          <w:tcPr>
            <w:tcW w:w="2372"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Володарский район</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51</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41</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55</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49</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72</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1,6</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w:t>
            </w:r>
          </w:p>
        </w:tc>
        <w:tc>
          <w:tcPr>
            <w:tcW w:w="763"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2,1</w:t>
            </w:r>
          </w:p>
        </w:tc>
      </w:tr>
      <w:tr w:rsidR="00ED7F17" w:rsidTr="00ED7F17">
        <w:trPr>
          <w:trHeight w:val="315"/>
        </w:trPr>
        <w:tc>
          <w:tcPr>
            <w:tcW w:w="2372"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Енотаевский район</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34</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42</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15</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48</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1,5</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1,7</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2,1</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0,8</w:t>
            </w:r>
          </w:p>
        </w:tc>
        <w:tc>
          <w:tcPr>
            <w:tcW w:w="763"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2,5</w:t>
            </w:r>
          </w:p>
        </w:tc>
      </w:tr>
      <w:tr w:rsidR="00ED7F17" w:rsidTr="00ED7F17">
        <w:trPr>
          <w:trHeight w:val="345"/>
        </w:trPr>
        <w:tc>
          <w:tcPr>
            <w:tcW w:w="2372"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Икрянинский район</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111</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64</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90</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72</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66</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3,0</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1,7</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2,5</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w:t>
            </w:r>
          </w:p>
        </w:tc>
        <w:tc>
          <w:tcPr>
            <w:tcW w:w="763"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1,8</w:t>
            </w:r>
          </w:p>
        </w:tc>
      </w:tr>
      <w:tr w:rsidR="00ED7F17" w:rsidTr="00ED7F17">
        <w:trPr>
          <w:trHeight w:val="315"/>
        </w:trPr>
        <w:tc>
          <w:tcPr>
            <w:tcW w:w="2372"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Камызякский район</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75</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74</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82</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58</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69</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2,2</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1,6</w:t>
            </w:r>
          </w:p>
        </w:tc>
        <w:tc>
          <w:tcPr>
            <w:tcW w:w="763"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1,9</w:t>
            </w:r>
          </w:p>
        </w:tc>
      </w:tr>
      <w:tr w:rsidR="00ED7F17" w:rsidTr="00ED7F17">
        <w:trPr>
          <w:trHeight w:val="375"/>
        </w:trPr>
        <w:tc>
          <w:tcPr>
            <w:tcW w:w="2372"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Красноярский район</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36</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44</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44</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28</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42</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1,6</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1,6</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w:t>
            </w:r>
          </w:p>
        </w:tc>
        <w:tc>
          <w:tcPr>
            <w:tcW w:w="763"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1,5</w:t>
            </w:r>
          </w:p>
        </w:tc>
      </w:tr>
      <w:tr w:rsidR="00ED7F17" w:rsidTr="00ED7F17">
        <w:trPr>
          <w:trHeight w:val="315"/>
        </w:trPr>
        <w:tc>
          <w:tcPr>
            <w:tcW w:w="2372"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Лиманский район</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52</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33</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46</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49</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59</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2,2</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2,1</w:t>
            </w:r>
          </w:p>
        </w:tc>
        <w:tc>
          <w:tcPr>
            <w:tcW w:w="763"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2,6</w:t>
            </w:r>
          </w:p>
        </w:tc>
      </w:tr>
      <w:tr w:rsidR="00ED7F17" w:rsidTr="00ED7F17">
        <w:trPr>
          <w:gridAfter w:val="1"/>
          <w:wAfter w:w="30" w:type="dxa"/>
          <w:trHeight w:val="345"/>
        </w:trPr>
        <w:tc>
          <w:tcPr>
            <w:tcW w:w="2372"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Наримановский район</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71</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66</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51</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46</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68</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1,8</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w:t>
            </w:r>
          </w:p>
        </w:tc>
        <w:tc>
          <w:tcPr>
            <w:tcW w:w="733"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1,9</w:t>
            </w:r>
          </w:p>
        </w:tc>
      </w:tr>
      <w:tr w:rsidR="00ED7F17" w:rsidTr="00ED7F17">
        <w:trPr>
          <w:trHeight w:val="315"/>
        </w:trPr>
        <w:tc>
          <w:tcPr>
            <w:tcW w:w="2372"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Приволжский район</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81</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71</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91</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76</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2,3</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2,5</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w:t>
            </w:r>
          </w:p>
        </w:tc>
        <w:tc>
          <w:tcPr>
            <w:tcW w:w="763"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1,6</w:t>
            </w:r>
          </w:p>
        </w:tc>
      </w:tr>
      <w:tr w:rsidR="00ED7F17" w:rsidTr="00ED7F17">
        <w:trPr>
          <w:trHeight w:val="315"/>
        </w:trPr>
        <w:tc>
          <w:tcPr>
            <w:tcW w:w="2372"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Харабалинский район</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82</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93</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88</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69</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74</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2,6</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2,8</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2,2</w:t>
            </w:r>
          </w:p>
        </w:tc>
        <w:tc>
          <w:tcPr>
            <w:tcW w:w="763"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2,4</w:t>
            </w:r>
          </w:p>
        </w:tc>
      </w:tr>
      <w:tr w:rsidR="00ED7F17" w:rsidTr="00ED7F17">
        <w:trPr>
          <w:trHeight w:val="315"/>
        </w:trPr>
        <w:tc>
          <w:tcPr>
            <w:tcW w:w="2372"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Черноярский район</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37</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19</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31</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2,4</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0,6</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0,8</w:t>
            </w:r>
          </w:p>
        </w:tc>
        <w:tc>
          <w:tcPr>
            <w:tcW w:w="763"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w:t>
            </w:r>
          </w:p>
        </w:tc>
      </w:tr>
      <w:tr w:rsidR="00ED7F17" w:rsidTr="00ED7F17">
        <w:trPr>
          <w:trHeight w:val="315"/>
        </w:trPr>
        <w:tc>
          <w:tcPr>
            <w:tcW w:w="2372"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 xml:space="preserve">г. Знаменск </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35</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37</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38</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31</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45</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1,5</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w:t>
            </w:r>
          </w:p>
        </w:tc>
        <w:tc>
          <w:tcPr>
            <w:tcW w:w="763"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1,8</w:t>
            </w:r>
          </w:p>
        </w:tc>
      </w:tr>
      <w:tr w:rsidR="00ED7F17" w:rsidTr="00ED7F17">
        <w:trPr>
          <w:trHeight w:val="405"/>
        </w:trPr>
        <w:tc>
          <w:tcPr>
            <w:tcW w:w="2372"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bCs/>
                <w:color w:val="000000"/>
                <w:sz w:val="20"/>
                <w:szCs w:val="20"/>
                <w:lang w:eastAsia="ru-RU"/>
              </w:rPr>
              <w:t xml:space="preserve"> г. Астрахань</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941</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1047</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998</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1118</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802</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2,2</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2,4</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2,3</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2,6</w:t>
            </w:r>
          </w:p>
        </w:tc>
        <w:tc>
          <w:tcPr>
            <w:tcW w:w="763"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1,9</w:t>
            </w:r>
          </w:p>
        </w:tc>
      </w:tr>
      <w:tr w:rsidR="00ED7F17" w:rsidTr="00ED7F17">
        <w:trPr>
          <w:trHeight w:val="315"/>
        </w:trPr>
        <w:tc>
          <w:tcPr>
            <w:tcW w:w="2372"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b/>
                <w:bCs/>
                <w:color w:val="000000"/>
                <w:sz w:val="20"/>
                <w:szCs w:val="20"/>
                <w:lang w:eastAsia="ru-RU"/>
              </w:rPr>
              <w:t>Астраханская область</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1714</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1756</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1709</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1712</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1533</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2,1</w:t>
            </w:r>
          </w:p>
        </w:tc>
        <w:tc>
          <w:tcPr>
            <w:tcW w:w="753"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2,2</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2,1</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2,2</w:t>
            </w:r>
          </w:p>
        </w:tc>
        <w:tc>
          <w:tcPr>
            <w:tcW w:w="763"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1,9</w:t>
            </w:r>
          </w:p>
        </w:tc>
      </w:tr>
    </w:tbl>
    <w:p w:rsidR="00ED7F17" w:rsidRDefault="00ED7F17" w:rsidP="00ED7F17">
      <w:pPr>
        <w:pStyle w:val="2f"/>
        <w:spacing w:line="276" w:lineRule="auto"/>
        <w:ind w:left="0" w:firstLine="709"/>
        <w:jc w:val="both"/>
        <w:rPr>
          <w:rFonts w:ascii="Times New Roman" w:hAnsi="Times New Roman"/>
          <w:sz w:val="24"/>
          <w:szCs w:val="24"/>
        </w:rPr>
      </w:pPr>
    </w:p>
    <w:p w:rsidR="00ED7F17" w:rsidRDefault="00ED7F17" w:rsidP="00ED7F17">
      <w:pPr>
        <w:pStyle w:val="2f"/>
        <w:spacing w:line="276" w:lineRule="auto"/>
        <w:ind w:left="0" w:firstLine="709"/>
        <w:jc w:val="both"/>
      </w:pPr>
      <w:r>
        <w:rPr>
          <w:rFonts w:ascii="Times New Roman" w:hAnsi="Times New Roman"/>
          <w:sz w:val="24"/>
          <w:szCs w:val="24"/>
        </w:rPr>
        <w:t>Общая заболеваемость ишемической болезнью сердца (</w:t>
      </w:r>
      <w:r>
        <w:rPr>
          <w:rFonts w:ascii="Times New Roman" w:hAnsi="Times New Roman"/>
          <w:sz w:val="24"/>
          <w:szCs w:val="24"/>
          <w:lang w:val="en-US"/>
        </w:rPr>
        <w:t>I</w:t>
      </w:r>
      <w:r>
        <w:rPr>
          <w:rFonts w:ascii="Times New Roman" w:hAnsi="Times New Roman"/>
          <w:sz w:val="24"/>
          <w:szCs w:val="24"/>
        </w:rPr>
        <w:t>20-25) в 2018 году составила 18,9 на 1000 населения, что на 51,8% ниже уровня 2014 года (39,2 на 1000 населения), первичная заболеваемость в 2018 году составила 4,4 на 1000 населения, что ниже уровня 2014 года на 58,8% (10,8 на 1000 населения).</w:t>
      </w:r>
    </w:p>
    <w:p w:rsidR="00ED7F17" w:rsidRDefault="00ED7F17" w:rsidP="00ED7F17">
      <w:pPr>
        <w:pStyle w:val="2f"/>
        <w:spacing w:line="276" w:lineRule="auto"/>
        <w:ind w:left="0" w:firstLine="709"/>
        <w:jc w:val="both"/>
      </w:pPr>
      <w:r>
        <w:rPr>
          <w:rFonts w:ascii="Times New Roman" w:hAnsi="Times New Roman"/>
          <w:sz w:val="24"/>
          <w:szCs w:val="24"/>
        </w:rPr>
        <w:t>Общая заболеваемость ишемической болезнью взрослого населения Астраханской области в 2018 году составила 53,1 на 1000 взрослого населения, что на 7,3% выше уровня 2017 года (49,5) и на 7,7% выше уровня 2014 года (49,3).</w:t>
      </w:r>
    </w:p>
    <w:p w:rsidR="00ED7F17" w:rsidRDefault="00ED7F17" w:rsidP="00ED7F17">
      <w:pPr>
        <w:pStyle w:val="2f"/>
        <w:spacing w:line="276" w:lineRule="auto"/>
        <w:ind w:left="0" w:firstLine="709"/>
        <w:jc w:val="both"/>
      </w:pPr>
      <w:r>
        <w:rPr>
          <w:rFonts w:ascii="Times New Roman" w:hAnsi="Times New Roman"/>
          <w:sz w:val="24"/>
          <w:szCs w:val="24"/>
        </w:rPr>
        <w:t>Среди районов Астраханской области наиболее высокий уровень общей заболеваемости ишемической болезнью взрослого населения наблюдается в Черном яру (119,0 на 1000 взрослого населения), наименьший - в Красноярском районе (31,7). За 5 лет снижение данного показателя отмечается только в Ахтубинском и Приволжском районах. Наибольшее снижение показателя наблюдается в Ахтубинском районе – на 25,3% (с 58,1 до 43,4 на 1000 взрослого населения). В остальных районах и г. Астрахани наблюдается рост данного показателя. Максимальный рост отмечен в Харабалинском районе – на 143,1% (с 20,4 до 49,6 на 1000 взрослого населения), но при этом данный показатель остается ниже уровня среднеобластного (53,1).</w:t>
      </w:r>
    </w:p>
    <w:p w:rsidR="00ED7F17" w:rsidRDefault="00ED7F17" w:rsidP="00ED7F17">
      <w:pPr>
        <w:pStyle w:val="2f"/>
        <w:spacing w:line="276" w:lineRule="auto"/>
        <w:ind w:left="0" w:firstLine="709"/>
        <w:jc w:val="both"/>
        <w:rPr>
          <w:rFonts w:ascii="Times New Roman" w:hAnsi="Times New Roman"/>
          <w:sz w:val="24"/>
          <w:szCs w:val="24"/>
        </w:rPr>
      </w:pPr>
    </w:p>
    <w:tbl>
      <w:tblPr>
        <w:tblW w:w="0" w:type="auto"/>
        <w:tblInd w:w="-30" w:type="dxa"/>
        <w:tblLayout w:type="fixed"/>
        <w:tblLook w:val="04A0" w:firstRow="1" w:lastRow="0" w:firstColumn="1" w:lastColumn="0" w:noHBand="0" w:noVBand="1"/>
      </w:tblPr>
      <w:tblGrid>
        <w:gridCol w:w="2388"/>
        <w:gridCol w:w="747"/>
        <w:gridCol w:w="747"/>
        <w:gridCol w:w="747"/>
        <w:gridCol w:w="747"/>
        <w:gridCol w:w="749"/>
        <w:gridCol w:w="747"/>
        <w:gridCol w:w="747"/>
        <w:gridCol w:w="747"/>
        <w:gridCol w:w="747"/>
        <w:gridCol w:w="741"/>
        <w:gridCol w:w="30"/>
      </w:tblGrid>
      <w:tr w:rsidR="00ED7F17" w:rsidTr="00ED7F17">
        <w:trPr>
          <w:gridAfter w:val="1"/>
          <w:wAfter w:w="30" w:type="dxa"/>
          <w:trHeight w:val="450"/>
        </w:trPr>
        <w:tc>
          <w:tcPr>
            <w:tcW w:w="2388" w:type="dxa"/>
            <w:vMerge w:val="restart"/>
            <w:tcBorders>
              <w:top w:val="single" w:sz="8" w:space="0" w:color="000000"/>
              <w:left w:val="single" w:sz="8"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Наименование территории</w:t>
            </w:r>
          </w:p>
        </w:tc>
        <w:tc>
          <w:tcPr>
            <w:tcW w:w="7466" w:type="dxa"/>
            <w:gridSpan w:val="10"/>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Ишемическая болезнь сердца</w:t>
            </w:r>
          </w:p>
        </w:tc>
      </w:tr>
      <w:tr w:rsidR="00ED7F17" w:rsidTr="00ED7F17">
        <w:trPr>
          <w:trHeight w:val="284"/>
        </w:trPr>
        <w:tc>
          <w:tcPr>
            <w:tcW w:w="2388" w:type="dxa"/>
            <w:vMerge/>
            <w:tcBorders>
              <w:top w:val="single" w:sz="8" w:space="0" w:color="000000"/>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7496" w:type="dxa"/>
            <w:gridSpan w:val="11"/>
            <w:tcBorders>
              <w:top w:val="single" w:sz="4" w:space="0" w:color="000000"/>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Общая заболеваемость (взрослые - 18 лет и старше)</w:t>
            </w:r>
          </w:p>
        </w:tc>
      </w:tr>
      <w:tr w:rsidR="00ED7F17" w:rsidTr="00ED7F17">
        <w:trPr>
          <w:trHeight w:val="360"/>
        </w:trPr>
        <w:tc>
          <w:tcPr>
            <w:tcW w:w="2388" w:type="dxa"/>
            <w:vMerge/>
            <w:tcBorders>
              <w:top w:val="single" w:sz="8" w:space="0" w:color="000000"/>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3737" w:type="dxa"/>
            <w:gridSpan w:val="5"/>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Абсолютное количество</w:t>
            </w:r>
          </w:p>
        </w:tc>
        <w:tc>
          <w:tcPr>
            <w:tcW w:w="3759" w:type="dxa"/>
            <w:gridSpan w:val="6"/>
            <w:tcBorders>
              <w:top w:val="single" w:sz="4" w:space="0" w:color="000000"/>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на 1000 взрослого населения</w:t>
            </w:r>
          </w:p>
        </w:tc>
      </w:tr>
      <w:tr w:rsidR="00ED7F17" w:rsidTr="00ED7F17">
        <w:trPr>
          <w:trHeight w:val="525"/>
        </w:trPr>
        <w:tc>
          <w:tcPr>
            <w:tcW w:w="2388" w:type="dxa"/>
            <w:vMerge/>
            <w:tcBorders>
              <w:top w:val="single" w:sz="8" w:space="0" w:color="000000"/>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74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2014</w:t>
            </w:r>
          </w:p>
        </w:tc>
        <w:tc>
          <w:tcPr>
            <w:tcW w:w="74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2015</w:t>
            </w:r>
          </w:p>
        </w:tc>
        <w:tc>
          <w:tcPr>
            <w:tcW w:w="74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2016</w:t>
            </w:r>
          </w:p>
        </w:tc>
        <w:tc>
          <w:tcPr>
            <w:tcW w:w="74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2017</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2018</w:t>
            </w:r>
          </w:p>
        </w:tc>
        <w:tc>
          <w:tcPr>
            <w:tcW w:w="74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2014</w:t>
            </w:r>
          </w:p>
        </w:tc>
        <w:tc>
          <w:tcPr>
            <w:tcW w:w="74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2015</w:t>
            </w:r>
          </w:p>
        </w:tc>
        <w:tc>
          <w:tcPr>
            <w:tcW w:w="74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2016</w:t>
            </w:r>
          </w:p>
        </w:tc>
        <w:tc>
          <w:tcPr>
            <w:tcW w:w="74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2017</w:t>
            </w:r>
          </w:p>
        </w:tc>
        <w:tc>
          <w:tcPr>
            <w:tcW w:w="771"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2018</w:t>
            </w:r>
          </w:p>
        </w:tc>
      </w:tr>
      <w:tr w:rsidR="00ED7F17" w:rsidTr="00ED7F17">
        <w:trPr>
          <w:trHeight w:val="315"/>
        </w:trPr>
        <w:tc>
          <w:tcPr>
            <w:tcW w:w="2388"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Ахтубинский район</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2813</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2254</w:t>
            </w:r>
          </w:p>
        </w:tc>
        <w:tc>
          <w:tcPr>
            <w:tcW w:w="747"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2060</w:t>
            </w:r>
          </w:p>
        </w:tc>
        <w:tc>
          <w:tcPr>
            <w:tcW w:w="747"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1991</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2040</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58,1</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46,3</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43,1</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42,4</w:t>
            </w:r>
          </w:p>
        </w:tc>
        <w:tc>
          <w:tcPr>
            <w:tcW w:w="771"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43,4</w:t>
            </w:r>
          </w:p>
        </w:tc>
      </w:tr>
      <w:tr w:rsidR="00ED7F17" w:rsidTr="00ED7F17">
        <w:trPr>
          <w:trHeight w:val="315"/>
        </w:trPr>
        <w:tc>
          <w:tcPr>
            <w:tcW w:w="2388"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Володарский район</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957</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935</w:t>
            </w:r>
          </w:p>
        </w:tc>
        <w:tc>
          <w:tcPr>
            <w:tcW w:w="747"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1107</w:t>
            </w:r>
          </w:p>
        </w:tc>
        <w:tc>
          <w:tcPr>
            <w:tcW w:w="747"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1598</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1651</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26,6</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26,2</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31,3</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45,7</w:t>
            </w:r>
          </w:p>
        </w:tc>
        <w:tc>
          <w:tcPr>
            <w:tcW w:w="771"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47,6</w:t>
            </w:r>
          </w:p>
        </w:tc>
      </w:tr>
      <w:tr w:rsidR="00ED7F17" w:rsidTr="00ED7F17">
        <w:trPr>
          <w:trHeight w:val="315"/>
        </w:trPr>
        <w:tc>
          <w:tcPr>
            <w:tcW w:w="2388"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Енотаевский район</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686</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830</w:t>
            </w:r>
          </w:p>
        </w:tc>
        <w:tc>
          <w:tcPr>
            <w:tcW w:w="747"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870</w:t>
            </w:r>
          </w:p>
        </w:tc>
        <w:tc>
          <w:tcPr>
            <w:tcW w:w="747"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927</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975</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34</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41,6</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43,9</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47,1</w:t>
            </w:r>
          </w:p>
        </w:tc>
        <w:tc>
          <w:tcPr>
            <w:tcW w:w="771"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50,1</w:t>
            </w:r>
          </w:p>
        </w:tc>
      </w:tr>
      <w:tr w:rsidR="00ED7F17" w:rsidTr="00ED7F17">
        <w:trPr>
          <w:trHeight w:val="345"/>
        </w:trPr>
        <w:tc>
          <w:tcPr>
            <w:tcW w:w="2388"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Икрянинский район</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1390</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1604</w:t>
            </w:r>
          </w:p>
        </w:tc>
        <w:tc>
          <w:tcPr>
            <w:tcW w:w="747"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1699</w:t>
            </w:r>
          </w:p>
        </w:tc>
        <w:tc>
          <w:tcPr>
            <w:tcW w:w="747"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1822</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1862</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37</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43,0</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46,0</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49,8</w:t>
            </w:r>
          </w:p>
        </w:tc>
        <w:tc>
          <w:tcPr>
            <w:tcW w:w="771"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51,1</w:t>
            </w:r>
          </w:p>
        </w:tc>
      </w:tr>
      <w:tr w:rsidR="00ED7F17" w:rsidTr="00ED7F17">
        <w:trPr>
          <w:trHeight w:val="315"/>
        </w:trPr>
        <w:tc>
          <w:tcPr>
            <w:tcW w:w="2388"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Камызякский район</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2271</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2260</w:t>
            </w:r>
          </w:p>
        </w:tc>
        <w:tc>
          <w:tcPr>
            <w:tcW w:w="747"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2331</w:t>
            </w:r>
          </w:p>
        </w:tc>
        <w:tc>
          <w:tcPr>
            <w:tcW w:w="747"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2459</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2527</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59,5</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59,8</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62,1</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66,3</w:t>
            </w:r>
          </w:p>
        </w:tc>
        <w:tc>
          <w:tcPr>
            <w:tcW w:w="771"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68,8</w:t>
            </w:r>
          </w:p>
        </w:tc>
      </w:tr>
      <w:tr w:rsidR="00ED7F17" w:rsidTr="00ED7F17">
        <w:trPr>
          <w:trHeight w:val="390"/>
        </w:trPr>
        <w:tc>
          <w:tcPr>
            <w:tcW w:w="2388"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Красноярский район</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663</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757</w:t>
            </w:r>
          </w:p>
        </w:tc>
        <w:tc>
          <w:tcPr>
            <w:tcW w:w="747"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705</w:t>
            </w:r>
          </w:p>
        </w:tc>
        <w:tc>
          <w:tcPr>
            <w:tcW w:w="747"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786</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874</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24,5</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27,7</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25,7</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28,5</w:t>
            </w:r>
          </w:p>
        </w:tc>
        <w:tc>
          <w:tcPr>
            <w:tcW w:w="771"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31,7</w:t>
            </w:r>
          </w:p>
        </w:tc>
      </w:tr>
      <w:tr w:rsidR="00ED7F17" w:rsidTr="00ED7F17">
        <w:trPr>
          <w:trHeight w:val="285"/>
        </w:trPr>
        <w:tc>
          <w:tcPr>
            <w:tcW w:w="2388"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Лиманский район</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1139</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1121</w:t>
            </w:r>
          </w:p>
        </w:tc>
        <w:tc>
          <w:tcPr>
            <w:tcW w:w="747"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1131</w:t>
            </w:r>
          </w:p>
        </w:tc>
        <w:tc>
          <w:tcPr>
            <w:tcW w:w="747"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1194</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1226</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46,9</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47,1</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48,0</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51,3</w:t>
            </w:r>
          </w:p>
        </w:tc>
        <w:tc>
          <w:tcPr>
            <w:tcW w:w="771"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53,7</w:t>
            </w:r>
          </w:p>
        </w:tc>
      </w:tr>
      <w:tr w:rsidR="00ED7F17" w:rsidTr="00ED7F17">
        <w:trPr>
          <w:trHeight w:val="420"/>
        </w:trPr>
        <w:tc>
          <w:tcPr>
            <w:tcW w:w="2388"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Наримановский район</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1282</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1391</w:t>
            </w:r>
          </w:p>
        </w:tc>
        <w:tc>
          <w:tcPr>
            <w:tcW w:w="747"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1388</w:t>
            </w:r>
          </w:p>
        </w:tc>
        <w:tc>
          <w:tcPr>
            <w:tcW w:w="747"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2044</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2090</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35,6</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38,3</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38,2</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56,4</w:t>
            </w:r>
          </w:p>
        </w:tc>
        <w:tc>
          <w:tcPr>
            <w:tcW w:w="771"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51,7</w:t>
            </w:r>
          </w:p>
        </w:tc>
      </w:tr>
      <w:tr w:rsidR="00ED7F17" w:rsidTr="00ED7F17">
        <w:trPr>
          <w:trHeight w:val="315"/>
        </w:trPr>
        <w:tc>
          <w:tcPr>
            <w:tcW w:w="2388"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Приволжский район</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1471</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1297</w:t>
            </w:r>
          </w:p>
        </w:tc>
        <w:tc>
          <w:tcPr>
            <w:tcW w:w="747"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1417</w:t>
            </w:r>
          </w:p>
        </w:tc>
        <w:tc>
          <w:tcPr>
            <w:tcW w:w="747"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1451</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1500</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42,2</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36,3</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38,8</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39,3</w:t>
            </w:r>
          </w:p>
        </w:tc>
        <w:tc>
          <w:tcPr>
            <w:tcW w:w="771"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34,9</w:t>
            </w:r>
          </w:p>
        </w:tc>
      </w:tr>
      <w:tr w:rsidR="00ED7F17" w:rsidTr="00ED7F17">
        <w:trPr>
          <w:trHeight w:val="315"/>
        </w:trPr>
        <w:tc>
          <w:tcPr>
            <w:tcW w:w="2388"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Харабалинский район</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650</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752</w:t>
            </w:r>
          </w:p>
        </w:tc>
        <w:tc>
          <w:tcPr>
            <w:tcW w:w="747"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854</w:t>
            </w:r>
          </w:p>
        </w:tc>
        <w:tc>
          <w:tcPr>
            <w:tcW w:w="747"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1028</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1533</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20,4</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24,0</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27,3</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33,1</w:t>
            </w:r>
          </w:p>
        </w:tc>
        <w:tc>
          <w:tcPr>
            <w:tcW w:w="771"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49,6</w:t>
            </w:r>
          </w:p>
        </w:tc>
      </w:tr>
      <w:tr w:rsidR="00ED7F17" w:rsidTr="00ED7F17">
        <w:trPr>
          <w:trHeight w:val="315"/>
        </w:trPr>
        <w:tc>
          <w:tcPr>
            <w:tcW w:w="2388"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Черноярский район</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1499</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1460</w:t>
            </w:r>
          </w:p>
        </w:tc>
        <w:tc>
          <w:tcPr>
            <w:tcW w:w="747"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1200</w:t>
            </w:r>
          </w:p>
        </w:tc>
        <w:tc>
          <w:tcPr>
            <w:tcW w:w="747"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1292</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1379</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95,3</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93,4</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77,4</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83,9</w:t>
            </w:r>
          </w:p>
        </w:tc>
        <w:tc>
          <w:tcPr>
            <w:tcW w:w="771"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119,0</w:t>
            </w:r>
          </w:p>
        </w:tc>
      </w:tr>
      <w:tr w:rsidR="00ED7F17" w:rsidTr="00ED7F17">
        <w:trPr>
          <w:trHeight w:val="315"/>
        </w:trPr>
        <w:tc>
          <w:tcPr>
            <w:tcW w:w="2388"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 xml:space="preserve">г. Знаменск </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790</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691</w:t>
            </w:r>
          </w:p>
        </w:tc>
        <w:tc>
          <w:tcPr>
            <w:tcW w:w="747"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682</w:t>
            </w:r>
          </w:p>
        </w:tc>
        <w:tc>
          <w:tcPr>
            <w:tcW w:w="747"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710</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814</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29,9</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26,6</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26,3</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27,7</w:t>
            </w:r>
          </w:p>
        </w:tc>
        <w:tc>
          <w:tcPr>
            <w:tcW w:w="771"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32,2</w:t>
            </w:r>
          </w:p>
        </w:tc>
      </w:tr>
      <w:tr w:rsidR="00ED7F17" w:rsidTr="00ED7F17">
        <w:trPr>
          <w:trHeight w:val="405"/>
        </w:trPr>
        <w:tc>
          <w:tcPr>
            <w:tcW w:w="2388"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bCs/>
                <w:color w:val="000000"/>
                <w:sz w:val="20"/>
                <w:szCs w:val="20"/>
                <w:lang w:eastAsia="ru-RU"/>
              </w:rPr>
              <w:t xml:space="preserve"> г. Астрахань</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24187</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20028</w:t>
            </w:r>
          </w:p>
        </w:tc>
        <w:tc>
          <w:tcPr>
            <w:tcW w:w="747"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19776</w:t>
            </w:r>
          </w:p>
        </w:tc>
        <w:tc>
          <w:tcPr>
            <w:tcW w:w="747"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22141</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23620</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56,1</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46,5</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46,2</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52,1</w:t>
            </w:r>
          </w:p>
        </w:tc>
        <w:tc>
          <w:tcPr>
            <w:tcW w:w="771"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55,8</w:t>
            </w:r>
          </w:p>
        </w:tc>
      </w:tr>
      <w:tr w:rsidR="00ED7F17" w:rsidTr="00ED7F17">
        <w:trPr>
          <w:trHeight w:val="315"/>
        </w:trPr>
        <w:tc>
          <w:tcPr>
            <w:tcW w:w="2388"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b/>
                <w:bCs/>
                <w:color w:val="000000"/>
                <w:sz w:val="20"/>
                <w:szCs w:val="20"/>
                <w:lang w:eastAsia="ru-RU"/>
              </w:rPr>
              <w:t>Астраханская область</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39798</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35380</w:t>
            </w:r>
          </w:p>
        </w:tc>
        <w:tc>
          <w:tcPr>
            <w:tcW w:w="747"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35220</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39443</w:t>
            </w:r>
          </w:p>
        </w:tc>
        <w:tc>
          <w:tcPr>
            <w:tcW w:w="749"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42091</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49,3</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43,9</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44,1</w:t>
            </w:r>
          </w:p>
        </w:tc>
        <w:tc>
          <w:tcPr>
            <w:tcW w:w="74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49,5</w:t>
            </w:r>
          </w:p>
        </w:tc>
        <w:tc>
          <w:tcPr>
            <w:tcW w:w="771"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53,1</w:t>
            </w:r>
          </w:p>
        </w:tc>
      </w:tr>
    </w:tbl>
    <w:p w:rsidR="00ED7F17" w:rsidRDefault="00ED7F17" w:rsidP="00ED7F17">
      <w:pPr>
        <w:pStyle w:val="2f"/>
        <w:spacing w:line="276" w:lineRule="auto"/>
        <w:ind w:left="0" w:firstLine="709"/>
        <w:jc w:val="both"/>
        <w:rPr>
          <w:rFonts w:ascii="Times New Roman" w:hAnsi="Times New Roman"/>
          <w:sz w:val="24"/>
          <w:szCs w:val="24"/>
        </w:rPr>
      </w:pPr>
    </w:p>
    <w:p w:rsidR="00ED7F17" w:rsidRDefault="00ED7F17" w:rsidP="00ED7F17">
      <w:pPr>
        <w:pStyle w:val="2f"/>
        <w:spacing w:line="276" w:lineRule="auto"/>
        <w:ind w:left="0" w:firstLine="709"/>
        <w:jc w:val="both"/>
      </w:pPr>
      <w:r>
        <w:rPr>
          <w:rFonts w:ascii="Times New Roman" w:hAnsi="Times New Roman"/>
          <w:sz w:val="24"/>
          <w:szCs w:val="24"/>
        </w:rPr>
        <w:t>Первичная заболеваемость ишемической болезнью взрослого населения Астраханской области в 2018 году составила 7,9 на 1000 взрослого населения, что на 2,6% выше уровня 2017 года (7,7) и на 41,5% ниже уровня 2014 года (13,5).</w:t>
      </w:r>
    </w:p>
    <w:p w:rsidR="00ED7F17" w:rsidRDefault="00ED7F17" w:rsidP="00ED7F17">
      <w:pPr>
        <w:pStyle w:val="2f"/>
        <w:spacing w:line="276" w:lineRule="auto"/>
        <w:ind w:left="0" w:firstLine="709"/>
        <w:jc w:val="both"/>
      </w:pPr>
      <w:r>
        <w:rPr>
          <w:rFonts w:ascii="Times New Roman" w:hAnsi="Times New Roman"/>
          <w:sz w:val="24"/>
          <w:szCs w:val="24"/>
        </w:rPr>
        <w:t>Среди районов Астраханской области наиболее высокий уровень первичной заболеваемости ишемической болезнью взрослого населения наблюдается в Харабалинском районе (21,7 на 1000 взрослого населения), наименьший - в Ахтубинском районе (4,0). За 5 лет снижение данного показателя отмечается в Ахтубинском, Икрянинском, Камызякском, Красноярском, Наримановском, Приволжском районах, ЗАТО Знаменск, г. Астрахань Наибольшее снижение показателя наблюдается в Наримановском районе – на 77,6% (с 25,5 до 5,7 на 1000 взрослого населения). В остальных районах наблюдается рост данного показателя. Максимальный рост отмечен в Харабалинском районе – на 244,4% (с 7,0 до 21,7 на 1000 взрослого населения), при этом данный показатель выше уровня среднеобластного (7,9).</w:t>
      </w:r>
    </w:p>
    <w:p w:rsidR="00ED7F17" w:rsidRDefault="00ED7F17" w:rsidP="00ED7F17">
      <w:pPr>
        <w:pStyle w:val="2f"/>
        <w:spacing w:line="276" w:lineRule="auto"/>
        <w:ind w:left="0" w:firstLine="709"/>
        <w:jc w:val="both"/>
        <w:rPr>
          <w:rFonts w:ascii="Times New Roman" w:hAnsi="Times New Roman"/>
          <w:sz w:val="24"/>
          <w:szCs w:val="24"/>
        </w:rPr>
      </w:pPr>
    </w:p>
    <w:tbl>
      <w:tblPr>
        <w:tblW w:w="0" w:type="auto"/>
        <w:tblInd w:w="-30" w:type="dxa"/>
        <w:tblLayout w:type="fixed"/>
        <w:tblLook w:val="04A0" w:firstRow="1" w:lastRow="0" w:firstColumn="1" w:lastColumn="0" w:noHBand="0" w:noVBand="1"/>
      </w:tblPr>
      <w:tblGrid>
        <w:gridCol w:w="2400"/>
        <w:gridCol w:w="745"/>
        <w:gridCol w:w="745"/>
        <w:gridCol w:w="745"/>
        <w:gridCol w:w="745"/>
        <w:gridCol w:w="751"/>
        <w:gridCol w:w="745"/>
        <w:gridCol w:w="745"/>
        <w:gridCol w:w="745"/>
        <w:gridCol w:w="745"/>
        <w:gridCol w:w="743"/>
        <w:gridCol w:w="30"/>
      </w:tblGrid>
      <w:tr w:rsidR="00ED7F17" w:rsidTr="00ED7F17">
        <w:trPr>
          <w:gridAfter w:val="1"/>
          <w:wAfter w:w="30" w:type="dxa"/>
          <w:trHeight w:val="450"/>
        </w:trPr>
        <w:tc>
          <w:tcPr>
            <w:tcW w:w="2400" w:type="dxa"/>
            <w:vMerge w:val="restart"/>
            <w:tcBorders>
              <w:top w:val="single" w:sz="8" w:space="0" w:color="000000"/>
              <w:left w:val="single" w:sz="8"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Наименование территории</w:t>
            </w:r>
          </w:p>
        </w:tc>
        <w:tc>
          <w:tcPr>
            <w:tcW w:w="7454" w:type="dxa"/>
            <w:gridSpan w:val="10"/>
            <w:tcBorders>
              <w:top w:val="single" w:sz="4" w:space="0" w:color="000000"/>
              <w:left w:val="single" w:sz="8"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Ишемическая болезнь сердца</w:t>
            </w:r>
          </w:p>
        </w:tc>
      </w:tr>
      <w:tr w:rsidR="00ED7F17" w:rsidTr="00ED7F17">
        <w:trPr>
          <w:trHeight w:val="291"/>
        </w:trPr>
        <w:tc>
          <w:tcPr>
            <w:tcW w:w="2400" w:type="dxa"/>
            <w:vMerge/>
            <w:tcBorders>
              <w:top w:val="single" w:sz="8" w:space="0" w:color="000000"/>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7484" w:type="dxa"/>
            <w:gridSpan w:val="11"/>
            <w:tcBorders>
              <w:top w:val="single" w:sz="4" w:space="0" w:color="000000"/>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Первичная заболеваемость (взрослые - 18 лет и старше)</w:t>
            </w:r>
          </w:p>
        </w:tc>
      </w:tr>
      <w:tr w:rsidR="00ED7F17" w:rsidTr="00ED7F17">
        <w:trPr>
          <w:trHeight w:val="360"/>
        </w:trPr>
        <w:tc>
          <w:tcPr>
            <w:tcW w:w="2400" w:type="dxa"/>
            <w:vMerge/>
            <w:tcBorders>
              <w:top w:val="single" w:sz="8" w:space="0" w:color="000000"/>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3731" w:type="dxa"/>
            <w:gridSpan w:val="5"/>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Абсолютное количество</w:t>
            </w:r>
          </w:p>
        </w:tc>
        <w:tc>
          <w:tcPr>
            <w:tcW w:w="3753" w:type="dxa"/>
            <w:gridSpan w:val="6"/>
            <w:tcBorders>
              <w:top w:val="single" w:sz="4" w:space="0" w:color="000000"/>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на 1000 взрослого населения</w:t>
            </w:r>
          </w:p>
        </w:tc>
      </w:tr>
      <w:tr w:rsidR="00ED7F17" w:rsidTr="00ED7F17">
        <w:trPr>
          <w:trHeight w:val="525"/>
        </w:trPr>
        <w:tc>
          <w:tcPr>
            <w:tcW w:w="2400" w:type="dxa"/>
            <w:vMerge/>
            <w:tcBorders>
              <w:top w:val="single" w:sz="8" w:space="0" w:color="000000"/>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2014</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2015</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2016</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2017</w:t>
            </w:r>
          </w:p>
        </w:tc>
        <w:tc>
          <w:tcPr>
            <w:tcW w:w="751" w:type="dxa"/>
            <w:tcBorders>
              <w:top w:val="nil"/>
              <w:left w:val="single" w:sz="4" w:space="0" w:color="000000"/>
              <w:bottom w:val="single" w:sz="4" w:space="0" w:color="000000"/>
              <w:right w:val="nil"/>
            </w:tcBorders>
            <w:shd w:val="clear" w:color="auto" w:fill="FFFFFF"/>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2018</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2014</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2015</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2016</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2017</w:t>
            </w:r>
          </w:p>
        </w:tc>
        <w:tc>
          <w:tcPr>
            <w:tcW w:w="773"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2018</w:t>
            </w:r>
          </w:p>
        </w:tc>
      </w:tr>
      <w:tr w:rsidR="00ED7F17" w:rsidTr="00ED7F17">
        <w:trPr>
          <w:trHeight w:val="315"/>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Ахтубинский район</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243</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492</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194</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176</w:t>
            </w:r>
          </w:p>
        </w:tc>
        <w:tc>
          <w:tcPr>
            <w:tcW w:w="751"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188</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10,1</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4,1</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3,7</w:t>
            </w:r>
          </w:p>
        </w:tc>
        <w:tc>
          <w:tcPr>
            <w:tcW w:w="773"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4,0</w:t>
            </w:r>
          </w:p>
        </w:tc>
      </w:tr>
      <w:tr w:rsidR="00ED7F17" w:rsidTr="00ED7F17">
        <w:trPr>
          <w:trHeight w:val="315"/>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Володарский район</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234</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234</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318</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712</w:t>
            </w:r>
          </w:p>
        </w:tc>
        <w:tc>
          <w:tcPr>
            <w:tcW w:w="751"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227</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6,5</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6,6</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20,4</w:t>
            </w:r>
          </w:p>
        </w:tc>
        <w:tc>
          <w:tcPr>
            <w:tcW w:w="773"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6,5</w:t>
            </w:r>
          </w:p>
        </w:tc>
      </w:tr>
      <w:tr w:rsidR="00ED7F17" w:rsidTr="00ED7F17">
        <w:trPr>
          <w:trHeight w:val="315"/>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Енотаевский район</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108</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287</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235</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143</w:t>
            </w:r>
          </w:p>
        </w:tc>
        <w:tc>
          <w:tcPr>
            <w:tcW w:w="751"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125</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5,4</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14,4</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11,9</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7,3</w:t>
            </w:r>
          </w:p>
        </w:tc>
        <w:tc>
          <w:tcPr>
            <w:tcW w:w="773"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6,4</w:t>
            </w:r>
          </w:p>
        </w:tc>
      </w:tr>
      <w:tr w:rsidR="00ED7F17" w:rsidTr="00ED7F17">
        <w:trPr>
          <w:trHeight w:val="345"/>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Икрянинский район</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326</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343</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243</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188</w:t>
            </w:r>
          </w:p>
        </w:tc>
        <w:tc>
          <w:tcPr>
            <w:tcW w:w="751"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225</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8,7</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9,2</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6,6</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5,1</w:t>
            </w:r>
          </w:p>
        </w:tc>
        <w:tc>
          <w:tcPr>
            <w:tcW w:w="773"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6,2</w:t>
            </w:r>
          </w:p>
        </w:tc>
      </w:tr>
      <w:tr w:rsidR="00ED7F17" w:rsidTr="00ED7F17">
        <w:trPr>
          <w:trHeight w:val="315"/>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Камызякский район</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563</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555</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501</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452</w:t>
            </w:r>
          </w:p>
        </w:tc>
        <w:tc>
          <w:tcPr>
            <w:tcW w:w="751"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496</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14,7</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14,7</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13,4</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12,2</w:t>
            </w:r>
          </w:p>
        </w:tc>
        <w:tc>
          <w:tcPr>
            <w:tcW w:w="773"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13,5</w:t>
            </w:r>
          </w:p>
        </w:tc>
      </w:tr>
      <w:tr w:rsidR="00ED7F17" w:rsidTr="00ED7F17">
        <w:trPr>
          <w:trHeight w:val="390"/>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Красноярский район</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213</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276</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119</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121</w:t>
            </w:r>
          </w:p>
        </w:tc>
        <w:tc>
          <w:tcPr>
            <w:tcW w:w="751"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146</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7,9</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10,1</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4,3</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4,4</w:t>
            </w:r>
          </w:p>
        </w:tc>
        <w:tc>
          <w:tcPr>
            <w:tcW w:w="773"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5,3</w:t>
            </w:r>
          </w:p>
        </w:tc>
      </w:tr>
      <w:tr w:rsidR="00ED7F17" w:rsidTr="00ED7F17">
        <w:trPr>
          <w:trHeight w:val="285"/>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Лиманский район</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141</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129</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418</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204</w:t>
            </w:r>
          </w:p>
        </w:tc>
        <w:tc>
          <w:tcPr>
            <w:tcW w:w="751"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169</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5,8</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5,4</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17,7</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8,8</w:t>
            </w:r>
          </w:p>
        </w:tc>
        <w:tc>
          <w:tcPr>
            <w:tcW w:w="773"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7,4</w:t>
            </w:r>
          </w:p>
        </w:tc>
      </w:tr>
      <w:tr w:rsidR="00ED7F17" w:rsidTr="00ED7F17">
        <w:trPr>
          <w:trHeight w:val="420"/>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Наримановский район</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919</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226</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242</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766</w:t>
            </w:r>
          </w:p>
        </w:tc>
        <w:tc>
          <w:tcPr>
            <w:tcW w:w="751"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230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25,5</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6,2</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6,7</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21,1</w:t>
            </w:r>
          </w:p>
        </w:tc>
        <w:tc>
          <w:tcPr>
            <w:tcW w:w="773"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5,7</w:t>
            </w:r>
          </w:p>
        </w:tc>
      </w:tr>
      <w:tr w:rsidR="00ED7F17" w:rsidTr="00ED7F17">
        <w:trPr>
          <w:trHeight w:val="315"/>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Приволжский район</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206</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215</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277</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212</w:t>
            </w:r>
          </w:p>
        </w:tc>
        <w:tc>
          <w:tcPr>
            <w:tcW w:w="751"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204</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5,9</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7,6</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5,7</w:t>
            </w:r>
          </w:p>
        </w:tc>
        <w:tc>
          <w:tcPr>
            <w:tcW w:w="773"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4,7</w:t>
            </w:r>
          </w:p>
        </w:tc>
      </w:tr>
      <w:tr w:rsidR="00ED7F17" w:rsidTr="00ED7F17">
        <w:trPr>
          <w:trHeight w:val="315"/>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Харабалинский район</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201</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221</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224</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176</w:t>
            </w:r>
          </w:p>
        </w:tc>
        <w:tc>
          <w:tcPr>
            <w:tcW w:w="751"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670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6,3</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7,2</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5,7</w:t>
            </w:r>
          </w:p>
        </w:tc>
        <w:tc>
          <w:tcPr>
            <w:tcW w:w="773"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21,7</w:t>
            </w:r>
          </w:p>
        </w:tc>
      </w:tr>
      <w:tr w:rsidR="00ED7F17" w:rsidTr="00ED7F17">
        <w:trPr>
          <w:trHeight w:val="315"/>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Черноярский район</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224</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99</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83</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175</w:t>
            </w:r>
          </w:p>
        </w:tc>
        <w:tc>
          <w:tcPr>
            <w:tcW w:w="751"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184</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14,2</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6,3</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5,4</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11,4</w:t>
            </w:r>
          </w:p>
        </w:tc>
        <w:tc>
          <w:tcPr>
            <w:tcW w:w="773"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15,9</w:t>
            </w:r>
          </w:p>
        </w:tc>
      </w:tr>
      <w:tr w:rsidR="00ED7F17" w:rsidTr="00ED7F17">
        <w:trPr>
          <w:trHeight w:val="315"/>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 xml:space="preserve">г. Знаменск </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372</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315</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335</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80</w:t>
            </w:r>
          </w:p>
        </w:tc>
        <w:tc>
          <w:tcPr>
            <w:tcW w:w="751"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188</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14,1</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12,1</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12,9</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3,1</w:t>
            </w:r>
          </w:p>
        </w:tc>
        <w:tc>
          <w:tcPr>
            <w:tcW w:w="773"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7,4</w:t>
            </w:r>
          </w:p>
        </w:tc>
      </w:tr>
      <w:tr w:rsidR="00ED7F17" w:rsidTr="00ED7F17">
        <w:trPr>
          <w:trHeight w:val="405"/>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bCs/>
                <w:color w:val="000000"/>
                <w:sz w:val="20"/>
                <w:szCs w:val="20"/>
                <w:lang w:eastAsia="ru-RU"/>
              </w:rPr>
              <w:t xml:space="preserve"> г. Астрахань</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7180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4306</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4333</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2714</w:t>
            </w:r>
          </w:p>
        </w:tc>
        <w:tc>
          <w:tcPr>
            <w:tcW w:w="751"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3235</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16,7</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10,0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10,1</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6,4</w:t>
            </w:r>
          </w:p>
        </w:tc>
        <w:tc>
          <w:tcPr>
            <w:tcW w:w="773"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7,6</w:t>
            </w:r>
          </w:p>
        </w:tc>
      </w:tr>
      <w:tr w:rsidR="00ED7F17" w:rsidTr="00ED7F17">
        <w:trPr>
          <w:trHeight w:val="315"/>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b/>
                <w:bCs/>
                <w:color w:val="000000"/>
                <w:sz w:val="20"/>
                <w:szCs w:val="20"/>
                <w:lang w:eastAsia="ru-RU"/>
              </w:rPr>
              <w:t>Астраханская область</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10930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7698</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7522</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6119</w:t>
            </w:r>
          </w:p>
        </w:tc>
        <w:tc>
          <w:tcPr>
            <w:tcW w:w="751"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6287</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13,5</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9,5</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9,4</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7,7</w:t>
            </w:r>
          </w:p>
        </w:tc>
        <w:tc>
          <w:tcPr>
            <w:tcW w:w="773"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7,9</w:t>
            </w:r>
          </w:p>
        </w:tc>
      </w:tr>
    </w:tbl>
    <w:p w:rsidR="00ED7F17" w:rsidRDefault="00ED7F17" w:rsidP="00ED7F17">
      <w:pPr>
        <w:pStyle w:val="2f"/>
        <w:spacing w:line="276" w:lineRule="auto"/>
        <w:ind w:left="0" w:firstLine="709"/>
        <w:jc w:val="both"/>
      </w:pPr>
    </w:p>
    <w:p w:rsidR="00ED7F17" w:rsidRDefault="00ED7F17" w:rsidP="00ED7F17">
      <w:pPr>
        <w:pStyle w:val="2f"/>
        <w:spacing w:line="276" w:lineRule="auto"/>
        <w:ind w:left="0" w:firstLine="709"/>
        <w:jc w:val="both"/>
      </w:pPr>
      <w:r>
        <w:rPr>
          <w:rFonts w:ascii="Times New Roman" w:hAnsi="Times New Roman"/>
          <w:sz w:val="24"/>
          <w:szCs w:val="24"/>
        </w:rPr>
        <w:t>Общая заболеваемость цереброваскулярными болезнями (</w:t>
      </w:r>
      <w:r>
        <w:rPr>
          <w:rFonts w:ascii="Times New Roman" w:hAnsi="Times New Roman"/>
          <w:sz w:val="24"/>
          <w:szCs w:val="24"/>
          <w:lang w:val="en-US"/>
        </w:rPr>
        <w:t>I</w:t>
      </w:r>
      <w:r>
        <w:rPr>
          <w:rFonts w:ascii="Times New Roman" w:hAnsi="Times New Roman"/>
          <w:sz w:val="24"/>
          <w:szCs w:val="24"/>
        </w:rPr>
        <w:t>60-69) в 2018 году составила 45,8 на 1000 населения, что незначительно ниже уровня 2014 года (45,9) первичная заболеваемость в 2018 году составила 9,5 на 1000 населения, что на 23% ниже уровня 2014 года (</w:t>
      </w:r>
      <w:r>
        <w:rPr>
          <w:rFonts w:ascii="Times New Roman" w:hAnsi="Times New Roman"/>
          <w:sz w:val="24"/>
          <w:szCs w:val="24"/>
          <w:lang w:val="en-US"/>
        </w:rPr>
        <w:t>I</w:t>
      </w:r>
      <w:r>
        <w:rPr>
          <w:rFonts w:ascii="Times New Roman" w:hAnsi="Times New Roman"/>
          <w:sz w:val="24"/>
          <w:szCs w:val="24"/>
        </w:rPr>
        <w:t xml:space="preserve">2,3 на 1000 населения). </w:t>
      </w:r>
    </w:p>
    <w:p w:rsidR="00ED7F17" w:rsidRDefault="00ED7F17" w:rsidP="00ED7F17">
      <w:pPr>
        <w:pStyle w:val="2f"/>
        <w:spacing w:line="276" w:lineRule="auto"/>
        <w:ind w:left="0" w:firstLine="709"/>
        <w:jc w:val="both"/>
      </w:pPr>
      <w:r>
        <w:rPr>
          <w:rFonts w:ascii="Times New Roman" w:hAnsi="Times New Roman"/>
          <w:sz w:val="24"/>
          <w:szCs w:val="24"/>
        </w:rPr>
        <w:t>Общая заболеваемость цереброваскулярными болезнями взрослого населения Астраханской области в 2018 году составила 59,9 на 1000 взрослого населения, что на 1,5% выше уровня 2017 года (59,0) и на 3,8% выше уровня 2014 года (57,7).</w:t>
      </w:r>
    </w:p>
    <w:p w:rsidR="00ED7F17" w:rsidRDefault="00ED7F17" w:rsidP="00ED7F17">
      <w:pPr>
        <w:pStyle w:val="2f"/>
        <w:spacing w:line="276" w:lineRule="auto"/>
        <w:ind w:left="0" w:firstLine="709"/>
        <w:jc w:val="both"/>
      </w:pPr>
      <w:r>
        <w:rPr>
          <w:rFonts w:ascii="Times New Roman" w:hAnsi="Times New Roman"/>
          <w:sz w:val="24"/>
          <w:szCs w:val="24"/>
        </w:rPr>
        <w:t>Среди районов Астраханской области наиболее высокий уровень общей заболеваемости цереброваскулярными болезнями взрослого населения наблюдается в Камызякском районе (84,9 на 1000 взрослого населения), наименьший - в ЗАТО Знаменск (23,4). За 5 лет снижение данного показателя отмечается в Ахтубинском, Енотаевском, Камызякском, Икрянинском, Приволжком районах, ЗАТО Знаменск. Наибольшее снижение показателя наблюдается в Ахтубинском районе – на 49,0% (с 139,8 до 71,3 на 1000 взрослого населения), но при этом значение показателя превышает среднеобластное (59,9). В остальных районах и г. Астрахани наблюдается рост данного показателя. Максимальный рост отмечен в Лиманском районе – на 97,4% (с 23,5 до 46,4 на 1000 взрослого населения), но при этом данный показатель остается ниже уровня среднеобластного (59,9).</w:t>
      </w:r>
    </w:p>
    <w:p w:rsidR="00ED7F17" w:rsidRDefault="00ED7F17" w:rsidP="00ED7F17">
      <w:pPr>
        <w:pStyle w:val="2f"/>
        <w:spacing w:line="276" w:lineRule="auto"/>
        <w:ind w:left="0" w:firstLine="709"/>
        <w:jc w:val="both"/>
        <w:rPr>
          <w:rFonts w:ascii="Times New Roman" w:hAnsi="Times New Roman"/>
          <w:sz w:val="24"/>
          <w:szCs w:val="24"/>
        </w:rPr>
      </w:pPr>
    </w:p>
    <w:tbl>
      <w:tblPr>
        <w:tblW w:w="0" w:type="auto"/>
        <w:tblInd w:w="108" w:type="dxa"/>
        <w:tblLayout w:type="fixed"/>
        <w:tblLook w:val="04A0" w:firstRow="1" w:lastRow="0" w:firstColumn="1" w:lastColumn="0" w:noHBand="0" w:noVBand="1"/>
      </w:tblPr>
      <w:tblGrid>
        <w:gridCol w:w="1845"/>
        <w:gridCol w:w="816"/>
        <w:gridCol w:w="816"/>
        <w:gridCol w:w="816"/>
        <w:gridCol w:w="816"/>
        <w:gridCol w:w="816"/>
        <w:gridCol w:w="756"/>
        <w:gridCol w:w="696"/>
        <w:gridCol w:w="696"/>
        <w:gridCol w:w="696"/>
        <w:gridCol w:w="719"/>
        <w:gridCol w:w="7"/>
      </w:tblGrid>
      <w:tr w:rsidR="00ED7F17" w:rsidTr="00ED7F17">
        <w:trPr>
          <w:gridAfter w:val="1"/>
          <w:wAfter w:w="7" w:type="dxa"/>
          <w:trHeight w:val="315"/>
        </w:trPr>
        <w:tc>
          <w:tcPr>
            <w:tcW w:w="1845" w:type="dxa"/>
            <w:vMerge w:val="restart"/>
            <w:tcBorders>
              <w:top w:val="single" w:sz="8" w:space="0" w:color="000000"/>
              <w:left w:val="single" w:sz="8"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Наименование территории</w:t>
            </w:r>
          </w:p>
        </w:tc>
        <w:tc>
          <w:tcPr>
            <w:tcW w:w="7643" w:type="dxa"/>
            <w:gridSpan w:val="10"/>
            <w:tcBorders>
              <w:top w:val="single" w:sz="4" w:space="0" w:color="000000"/>
              <w:left w:val="single" w:sz="4" w:space="0" w:color="000000"/>
              <w:bottom w:val="single" w:sz="4" w:space="0" w:color="000000"/>
              <w:right w:val="single" w:sz="4" w:space="0" w:color="000000"/>
            </w:tcBorders>
            <w:hideMark/>
          </w:tcPr>
          <w:p w:rsidR="00ED7F17" w:rsidRDefault="00ED7F17">
            <w:pPr>
              <w:suppressAutoHyphens w:val="0"/>
              <w:jc w:val="center"/>
              <w:rPr>
                <w:rFonts w:ascii="Arial" w:eastAsia="Arial" w:hAnsi="Arial" w:cs="Arial"/>
                <w:sz w:val="22"/>
                <w:szCs w:val="22"/>
              </w:rPr>
            </w:pPr>
            <w:r>
              <w:rPr>
                <w:b/>
                <w:bCs/>
                <w:color w:val="auto"/>
                <w:sz w:val="20"/>
                <w:szCs w:val="20"/>
                <w:lang w:eastAsia="ru-RU"/>
              </w:rPr>
              <w:t>Цереброваскулярные болезни</w:t>
            </w:r>
          </w:p>
        </w:tc>
      </w:tr>
      <w:tr w:rsidR="00ED7F17" w:rsidTr="00ED7F17">
        <w:trPr>
          <w:trHeight w:val="280"/>
        </w:trPr>
        <w:tc>
          <w:tcPr>
            <w:tcW w:w="1845" w:type="dxa"/>
            <w:vMerge/>
            <w:tcBorders>
              <w:top w:val="single" w:sz="8" w:space="0" w:color="000000"/>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7650" w:type="dxa"/>
            <w:gridSpan w:val="11"/>
            <w:tcBorders>
              <w:top w:val="single" w:sz="4" w:space="0" w:color="000000"/>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Общая заболеваемость (взрослые - 18 лет и старше)</w:t>
            </w:r>
          </w:p>
        </w:tc>
      </w:tr>
      <w:tr w:rsidR="00ED7F17" w:rsidTr="00ED7F17">
        <w:trPr>
          <w:trHeight w:val="360"/>
        </w:trPr>
        <w:tc>
          <w:tcPr>
            <w:tcW w:w="1845" w:type="dxa"/>
            <w:vMerge/>
            <w:tcBorders>
              <w:top w:val="single" w:sz="8" w:space="0" w:color="000000"/>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4080" w:type="dxa"/>
            <w:gridSpan w:val="5"/>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Абсолютное количество</w:t>
            </w:r>
          </w:p>
        </w:tc>
        <w:tc>
          <w:tcPr>
            <w:tcW w:w="3570" w:type="dxa"/>
            <w:gridSpan w:val="6"/>
            <w:tcBorders>
              <w:top w:val="single" w:sz="4" w:space="0" w:color="000000"/>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на 1000 взрослого населения</w:t>
            </w:r>
          </w:p>
        </w:tc>
      </w:tr>
      <w:tr w:rsidR="00ED7F17" w:rsidTr="00ED7F17">
        <w:trPr>
          <w:trHeight w:val="525"/>
        </w:trPr>
        <w:tc>
          <w:tcPr>
            <w:tcW w:w="1845" w:type="dxa"/>
            <w:vMerge/>
            <w:tcBorders>
              <w:top w:val="single" w:sz="8" w:space="0" w:color="000000"/>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816"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2014</w:t>
            </w:r>
          </w:p>
        </w:tc>
        <w:tc>
          <w:tcPr>
            <w:tcW w:w="816"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2015</w:t>
            </w:r>
          </w:p>
        </w:tc>
        <w:tc>
          <w:tcPr>
            <w:tcW w:w="816"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2016</w:t>
            </w:r>
          </w:p>
        </w:tc>
        <w:tc>
          <w:tcPr>
            <w:tcW w:w="816"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2017</w:t>
            </w:r>
          </w:p>
        </w:tc>
        <w:tc>
          <w:tcPr>
            <w:tcW w:w="816"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2018</w:t>
            </w:r>
          </w:p>
        </w:tc>
        <w:tc>
          <w:tcPr>
            <w:tcW w:w="756"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2014</w:t>
            </w:r>
          </w:p>
        </w:tc>
        <w:tc>
          <w:tcPr>
            <w:tcW w:w="696"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2015</w:t>
            </w:r>
          </w:p>
        </w:tc>
        <w:tc>
          <w:tcPr>
            <w:tcW w:w="696"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2016</w:t>
            </w:r>
          </w:p>
        </w:tc>
        <w:tc>
          <w:tcPr>
            <w:tcW w:w="696"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2017</w:t>
            </w:r>
          </w:p>
        </w:tc>
        <w:tc>
          <w:tcPr>
            <w:tcW w:w="726"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2018</w:t>
            </w:r>
          </w:p>
        </w:tc>
      </w:tr>
      <w:tr w:rsidR="00ED7F17" w:rsidTr="00ED7F17">
        <w:trPr>
          <w:trHeight w:val="315"/>
        </w:trPr>
        <w:tc>
          <w:tcPr>
            <w:tcW w:w="1845"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Ахтубинский район</w:t>
            </w:r>
          </w:p>
        </w:tc>
        <w:tc>
          <w:tcPr>
            <w:tcW w:w="81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6773</w:t>
            </w:r>
          </w:p>
        </w:tc>
        <w:tc>
          <w:tcPr>
            <w:tcW w:w="81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4483</w:t>
            </w:r>
          </w:p>
        </w:tc>
        <w:tc>
          <w:tcPr>
            <w:tcW w:w="816"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3188</w:t>
            </w:r>
          </w:p>
        </w:tc>
        <w:tc>
          <w:tcPr>
            <w:tcW w:w="816"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3615</w:t>
            </w:r>
          </w:p>
        </w:tc>
        <w:tc>
          <w:tcPr>
            <w:tcW w:w="816"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3346</w:t>
            </w:r>
          </w:p>
        </w:tc>
        <w:tc>
          <w:tcPr>
            <w:tcW w:w="75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139,8</w:t>
            </w:r>
          </w:p>
        </w:tc>
        <w:tc>
          <w:tcPr>
            <w:tcW w:w="69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92,2</w:t>
            </w:r>
          </w:p>
        </w:tc>
        <w:tc>
          <w:tcPr>
            <w:tcW w:w="69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66,7</w:t>
            </w:r>
          </w:p>
        </w:tc>
        <w:tc>
          <w:tcPr>
            <w:tcW w:w="69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77,0</w:t>
            </w:r>
          </w:p>
        </w:tc>
        <w:tc>
          <w:tcPr>
            <w:tcW w:w="726"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71,3</w:t>
            </w:r>
          </w:p>
        </w:tc>
      </w:tr>
      <w:tr w:rsidR="00ED7F17" w:rsidTr="00ED7F17">
        <w:trPr>
          <w:trHeight w:val="315"/>
        </w:trPr>
        <w:tc>
          <w:tcPr>
            <w:tcW w:w="1845"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Володарский район</w:t>
            </w:r>
          </w:p>
        </w:tc>
        <w:tc>
          <w:tcPr>
            <w:tcW w:w="81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1026</w:t>
            </w:r>
          </w:p>
        </w:tc>
        <w:tc>
          <w:tcPr>
            <w:tcW w:w="81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1280</w:t>
            </w:r>
          </w:p>
        </w:tc>
        <w:tc>
          <w:tcPr>
            <w:tcW w:w="816"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1279</w:t>
            </w:r>
          </w:p>
        </w:tc>
        <w:tc>
          <w:tcPr>
            <w:tcW w:w="816"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1530</w:t>
            </w:r>
          </w:p>
        </w:tc>
        <w:tc>
          <w:tcPr>
            <w:tcW w:w="816"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1421</w:t>
            </w:r>
          </w:p>
        </w:tc>
        <w:tc>
          <w:tcPr>
            <w:tcW w:w="75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28,5</w:t>
            </w:r>
          </w:p>
        </w:tc>
        <w:tc>
          <w:tcPr>
            <w:tcW w:w="69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35,8</w:t>
            </w:r>
          </w:p>
        </w:tc>
        <w:tc>
          <w:tcPr>
            <w:tcW w:w="69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36,2</w:t>
            </w:r>
          </w:p>
        </w:tc>
        <w:tc>
          <w:tcPr>
            <w:tcW w:w="69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43,8</w:t>
            </w:r>
          </w:p>
        </w:tc>
        <w:tc>
          <w:tcPr>
            <w:tcW w:w="726"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40,9</w:t>
            </w:r>
          </w:p>
        </w:tc>
      </w:tr>
      <w:tr w:rsidR="00ED7F17" w:rsidTr="00ED7F17">
        <w:trPr>
          <w:trHeight w:val="315"/>
        </w:trPr>
        <w:tc>
          <w:tcPr>
            <w:tcW w:w="1845"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Енотаевский район</w:t>
            </w:r>
          </w:p>
        </w:tc>
        <w:tc>
          <w:tcPr>
            <w:tcW w:w="81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1261</w:t>
            </w:r>
          </w:p>
        </w:tc>
        <w:tc>
          <w:tcPr>
            <w:tcW w:w="81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1126</w:t>
            </w:r>
          </w:p>
        </w:tc>
        <w:tc>
          <w:tcPr>
            <w:tcW w:w="816"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1192</w:t>
            </w:r>
          </w:p>
        </w:tc>
        <w:tc>
          <w:tcPr>
            <w:tcW w:w="816"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1049</w:t>
            </w:r>
          </w:p>
        </w:tc>
        <w:tc>
          <w:tcPr>
            <w:tcW w:w="816"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1127</w:t>
            </w:r>
          </w:p>
        </w:tc>
        <w:tc>
          <w:tcPr>
            <w:tcW w:w="75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62,5</w:t>
            </w:r>
          </w:p>
        </w:tc>
        <w:tc>
          <w:tcPr>
            <w:tcW w:w="69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56,4</w:t>
            </w:r>
          </w:p>
        </w:tc>
        <w:tc>
          <w:tcPr>
            <w:tcW w:w="69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60,2</w:t>
            </w:r>
          </w:p>
        </w:tc>
        <w:tc>
          <w:tcPr>
            <w:tcW w:w="69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53,3</w:t>
            </w:r>
          </w:p>
        </w:tc>
        <w:tc>
          <w:tcPr>
            <w:tcW w:w="726"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57,9</w:t>
            </w:r>
          </w:p>
        </w:tc>
      </w:tr>
      <w:tr w:rsidR="00ED7F17" w:rsidTr="00ED7F17">
        <w:trPr>
          <w:trHeight w:val="345"/>
        </w:trPr>
        <w:tc>
          <w:tcPr>
            <w:tcW w:w="1845"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Икрянинский район</w:t>
            </w:r>
          </w:p>
        </w:tc>
        <w:tc>
          <w:tcPr>
            <w:tcW w:w="81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2708</w:t>
            </w:r>
          </w:p>
        </w:tc>
        <w:tc>
          <w:tcPr>
            <w:tcW w:w="81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2911</w:t>
            </w:r>
          </w:p>
        </w:tc>
        <w:tc>
          <w:tcPr>
            <w:tcW w:w="816"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2550</w:t>
            </w:r>
          </w:p>
        </w:tc>
        <w:tc>
          <w:tcPr>
            <w:tcW w:w="816"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1758</w:t>
            </w:r>
          </w:p>
        </w:tc>
        <w:tc>
          <w:tcPr>
            <w:tcW w:w="816"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2542</w:t>
            </w:r>
          </w:p>
        </w:tc>
        <w:tc>
          <w:tcPr>
            <w:tcW w:w="75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72,1</w:t>
            </w:r>
          </w:p>
        </w:tc>
        <w:tc>
          <w:tcPr>
            <w:tcW w:w="69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78,1</w:t>
            </w:r>
          </w:p>
        </w:tc>
        <w:tc>
          <w:tcPr>
            <w:tcW w:w="69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69,0</w:t>
            </w:r>
          </w:p>
        </w:tc>
        <w:tc>
          <w:tcPr>
            <w:tcW w:w="69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48,0</w:t>
            </w:r>
          </w:p>
        </w:tc>
        <w:tc>
          <w:tcPr>
            <w:tcW w:w="726"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69,8</w:t>
            </w:r>
          </w:p>
        </w:tc>
      </w:tr>
      <w:tr w:rsidR="00ED7F17" w:rsidTr="00ED7F17">
        <w:trPr>
          <w:trHeight w:val="315"/>
        </w:trPr>
        <w:tc>
          <w:tcPr>
            <w:tcW w:w="1845"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Камызякский район</w:t>
            </w:r>
          </w:p>
        </w:tc>
        <w:tc>
          <w:tcPr>
            <w:tcW w:w="81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3520</w:t>
            </w:r>
          </w:p>
        </w:tc>
        <w:tc>
          <w:tcPr>
            <w:tcW w:w="81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3369</w:t>
            </w:r>
          </w:p>
        </w:tc>
        <w:tc>
          <w:tcPr>
            <w:tcW w:w="816"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3442</w:t>
            </w:r>
          </w:p>
        </w:tc>
        <w:tc>
          <w:tcPr>
            <w:tcW w:w="816"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3470</w:t>
            </w:r>
          </w:p>
        </w:tc>
        <w:tc>
          <w:tcPr>
            <w:tcW w:w="816"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3118</w:t>
            </w:r>
          </w:p>
        </w:tc>
        <w:tc>
          <w:tcPr>
            <w:tcW w:w="75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92,2</w:t>
            </w:r>
          </w:p>
        </w:tc>
        <w:tc>
          <w:tcPr>
            <w:tcW w:w="69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89,2</w:t>
            </w:r>
          </w:p>
        </w:tc>
        <w:tc>
          <w:tcPr>
            <w:tcW w:w="69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91,8</w:t>
            </w:r>
          </w:p>
        </w:tc>
        <w:tc>
          <w:tcPr>
            <w:tcW w:w="69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93,5</w:t>
            </w:r>
          </w:p>
        </w:tc>
        <w:tc>
          <w:tcPr>
            <w:tcW w:w="726"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84,9</w:t>
            </w:r>
          </w:p>
        </w:tc>
      </w:tr>
      <w:tr w:rsidR="00ED7F17" w:rsidTr="00ED7F17">
        <w:trPr>
          <w:trHeight w:val="315"/>
        </w:trPr>
        <w:tc>
          <w:tcPr>
            <w:tcW w:w="1845"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Красноярский район</w:t>
            </w:r>
          </w:p>
        </w:tc>
        <w:tc>
          <w:tcPr>
            <w:tcW w:w="81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578</w:t>
            </w:r>
          </w:p>
        </w:tc>
        <w:tc>
          <w:tcPr>
            <w:tcW w:w="81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571</w:t>
            </w:r>
          </w:p>
        </w:tc>
        <w:tc>
          <w:tcPr>
            <w:tcW w:w="816"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667</w:t>
            </w:r>
          </w:p>
        </w:tc>
        <w:tc>
          <w:tcPr>
            <w:tcW w:w="816"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877</w:t>
            </w:r>
          </w:p>
        </w:tc>
        <w:tc>
          <w:tcPr>
            <w:tcW w:w="816"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1116</w:t>
            </w:r>
          </w:p>
        </w:tc>
        <w:tc>
          <w:tcPr>
            <w:tcW w:w="75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21,3</w:t>
            </w:r>
          </w:p>
        </w:tc>
        <w:tc>
          <w:tcPr>
            <w:tcW w:w="69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20,9</w:t>
            </w:r>
          </w:p>
        </w:tc>
        <w:tc>
          <w:tcPr>
            <w:tcW w:w="69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24,3</w:t>
            </w:r>
          </w:p>
        </w:tc>
        <w:tc>
          <w:tcPr>
            <w:tcW w:w="69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31,8</w:t>
            </w:r>
          </w:p>
        </w:tc>
        <w:tc>
          <w:tcPr>
            <w:tcW w:w="726"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40,5</w:t>
            </w:r>
          </w:p>
        </w:tc>
      </w:tr>
      <w:tr w:rsidR="00ED7F17" w:rsidTr="00ED7F17">
        <w:trPr>
          <w:trHeight w:val="300"/>
        </w:trPr>
        <w:tc>
          <w:tcPr>
            <w:tcW w:w="1845"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Лиманский район</w:t>
            </w:r>
          </w:p>
        </w:tc>
        <w:tc>
          <w:tcPr>
            <w:tcW w:w="81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570</w:t>
            </w:r>
          </w:p>
        </w:tc>
        <w:tc>
          <w:tcPr>
            <w:tcW w:w="81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820</w:t>
            </w:r>
          </w:p>
        </w:tc>
        <w:tc>
          <w:tcPr>
            <w:tcW w:w="816"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784</w:t>
            </w:r>
          </w:p>
        </w:tc>
        <w:tc>
          <w:tcPr>
            <w:tcW w:w="816"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969</w:t>
            </w:r>
          </w:p>
        </w:tc>
        <w:tc>
          <w:tcPr>
            <w:tcW w:w="816"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1059</w:t>
            </w:r>
          </w:p>
        </w:tc>
        <w:tc>
          <w:tcPr>
            <w:tcW w:w="75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23,5</w:t>
            </w:r>
          </w:p>
        </w:tc>
        <w:tc>
          <w:tcPr>
            <w:tcW w:w="69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34,5</w:t>
            </w:r>
          </w:p>
        </w:tc>
        <w:tc>
          <w:tcPr>
            <w:tcW w:w="69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33,2</w:t>
            </w:r>
          </w:p>
        </w:tc>
        <w:tc>
          <w:tcPr>
            <w:tcW w:w="69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41,6</w:t>
            </w:r>
          </w:p>
        </w:tc>
        <w:tc>
          <w:tcPr>
            <w:tcW w:w="726"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46,4</w:t>
            </w:r>
          </w:p>
        </w:tc>
      </w:tr>
      <w:tr w:rsidR="00ED7F17" w:rsidTr="00ED7F17">
        <w:trPr>
          <w:trHeight w:val="390"/>
        </w:trPr>
        <w:tc>
          <w:tcPr>
            <w:tcW w:w="1845"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Наримановский район</w:t>
            </w:r>
          </w:p>
        </w:tc>
        <w:tc>
          <w:tcPr>
            <w:tcW w:w="81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716</w:t>
            </w:r>
          </w:p>
        </w:tc>
        <w:tc>
          <w:tcPr>
            <w:tcW w:w="81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740</w:t>
            </w:r>
          </w:p>
        </w:tc>
        <w:tc>
          <w:tcPr>
            <w:tcW w:w="816"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1025</w:t>
            </w:r>
          </w:p>
        </w:tc>
        <w:tc>
          <w:tcPr>
            <w:tcW w:w="816"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1236</w:t>
            </w:r>
          </w:p>
        </w:tc>
        <w:tc>
          <w:tcPr>
            <w:tcW w:w="816"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1130</w:t>
            </w:r>
          </w:p>
        </w:tc>
        <w:tc>
          <w:tcPr>
            <w:tcW w:w="75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19,5</w:t>
            </w:r>
          </w:p>
        </w:tc>
        <w:tc>
          <w:tcPr>
            <w:tcW w:w="69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20,4</w:t>
            </w:r>
          </w:p>
        </w:tc>
        <w:tc>
          <w:tcPr>
            <w:tcW w:w="69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28,2</w:t>
            </w:r>
          </w:p>
        </w:tc>
        <w:tc>
          <w:tcPr>
            <w:tcW w:w="69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34,1</w:t>
            </w:r>
          </w:p>
        </w:tc>
        <w:tc>
          <w:tcPr>
            <w:tcW w:w="726"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28,0</w:t>
            </w:r>
          </w:p>
        </w:tc>
      </w:tr>
      <w:tr w:rsidR="00ED7F17" w:rsidTr="00ED7F17">
        <w:trPr>
          <w:trHeight w:val="315"/>
        </w:trPr>
        <w:tc>
          <w:tcPr>
            <w:tcW w:w="1845"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Приволжский район</w:t>
            </w:r>
          </w:p>
        </w:tc>
        <w:tc>
          <w:tcPr>
            <w:tcW w:w="81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2654</w:t>
            </w:r>
          </w:p>
        </w:tc>
        <w:tc>
          <w:tcPr>
            <w:tcW w:w="81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1979</w:t>
            </w:r>
          </w:p>
        </w:tc>
        <w:tc>
          <w:tcPr>
            <w:tcW w:w="816"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2060</w:t>
            </w:r>
          </w:p>
        </w:tc>
        <w:tc>
          <w:tcPr>
            <w:tcW w:w="816"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2092</w:t>
            </w:r>
          </w:p>
        </w:tc>
        <w:tc>
          <w:tcPr>
            <w:tcW w:w="816"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2015</w:t>
            </w:r>
          </w:p>
        </w:tc>
        <w:tc>
          <w:tcPr>
            <w:tcW w:w="75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76,2</w:t>
            </w:r>
          </w:p>
        </w:tc>
        <w:tc>
          <w:tcPr>
            <w:tcW w:w="69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55,4</w:t>
            </w:r>
          </w:p>
        </w:tc>
        <w:tc>
          <w:tcPr>
            <w:tcW w:w="69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56,4</w:t>
            </w:r>
          </w:p>
        </w:tc>
        <w:tc>
          <w:tcPr>
            <w:tcW w:w="69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56,7</w:t>
            </w:r>
          </w:p>
        </w:tc>
        <w:tc>
          <w:tcPr>
            <w:tcW w:w="726"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46,8</w:t>
            </w:r>
          </w:p>
        </w:tc>
      </w:tr>
      <w:tr w:rsidR="00ED7F17" w:rsidTr="00ED7F17">
        <w:trPr>
          <w:trHeight w:val="315"/>
        </w:trPr>
        <w:tc>
          <w:tcPr>
            <w:tcW w:w="1845"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Харабалинский район</w:t>
            </w:r>
          </w:p>
        </w:tc>
        <w:tc>
          <w:tcPr>
            <w:tcW w:w="81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1954</w:t>
            </w:r>
          </w:p>
        </w:tc>
        <w:tc>
          <w:tcPr>
            <w:tcW w:w="81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1978</w:t>
            </w:r>
          </w:p>
        </w:tc>
        <w:tc>
          <w:tcPr>
            <w:tcW w:w="816"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1867</w:t>
            </w:r>
          </w:p>
        </w:tc>
        <w:tc>
          <w:tcPr>
            <w:tcW w:w="816"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2090</w:t>
            </w:r>
          </w:p>
        </w:tc>
        <w:tc>
          <w:tcPr>
            <w:tcW w:w="816"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2599</w:t>
            </w:r>
          </w:p>
        </w:tc>
        <w:tc>
          <w:tcPr>
            <w:tcW w:w="75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61,3</w:t>
            </w:r>
          </w:p>
        </w:tc>
        <w:tc>
          <w:tcPr>
            <w:tcW w:w="69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63,0</w:t>
            </w:r>
          </w:p>
        </w:tc>
        <w:tc>
          <w:tcPr>
            <w:tcW w:w="69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59,8</w:t>
            </w:r>
          </w:p>
        </w:tc>
        <w:tc>
          <w:tcPr>
            <w:tcW w:w="69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67,2</w:t>
            </w:r>
          </w:p>
        </w:tc>
        <w:tc>
          <w:tcPr>
            <w:tcW w:w="726"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84,1</w:t>
            </w:r>
          </w:p>
        </w:tc>
      </w:tr>
      <w:tr w:rsidR="00ED7F17" w:rsidTr="00ED7F17">
        <w:trPr>
          <w:trHeight w:val="315"/>
        </w:trPr>
        <w:tc>
          <w:tcPr>
            <w:tcW w:w="1845"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Черноярский район</w:t>
            </w:r>
          </w:p>
        </w:tc>
        <w:tc>
          <w:tcPr>
            <w:tcW w:w="81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813</w:t>
            </w:r>
          </w:p>
        </w:tc>
        <w:tc>
          <w:tcPr>
            <w:tcW w:w="81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686</w:t>
            </w:r>
          </w:p>
        </w:tc>
        <w:tc>
          <w:tcPr>
            <w:tcW w:w="816"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681</w:t>
            </w:r>
          </w:p>
        </w:tc>
        <w:tc>
          <w:tcPr>
            <w:tcW w:w="816"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675</w:t>
            </w:r>
          </w:p>
        </w:tc>
        <w:tc>
          <w:tcPr>
            <w:tcW w:w="816"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699</w:t>
            </w:r>
          </w:p>
        </w:tc>
        <w:tc>
          <w:tcPr>
            <w:tcW w:w="75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51,7</w:t>
            </w:r>
          </w:p>
        </w:tc>
        <w:tc>
          <w:tcPr>
            <w:tcW w:w="69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43,9</w:t>
            </w:r>
          </w:p>
        </w:tc>
        <w:tc>
          <w:tcPr>
            <w:tcW w:w="69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43,9</w:t>
            </w:r>
          </w:p>
        </w:tc>
        <w:tc>
          <w:tcPr>
            <w:tcW w:w="69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43,8</w:t>
            </w:r>
          </w:p>
        </w:tc>
        <w:tc>
          <w:tcPr>
            <w:tcW w:w="726"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60,3</w:t>
            </w:r>
          </w:p>
        </w:tc>
      </w:tr>
      <w:tr w:rsidR="00ED7F17" w:rsidTr="00ED7F17">
        <w:trPr>
          <w:trHeight w:val="315"/>
        </w:trPr>
        <w:tc>
          <w:tcPr>
            <w:tcW w:w="1845"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 xml:space="preserve">г. Знаменск </w:t>
            </w:r>
          </w:p>
        </w:tc>
        <w:tc>
          <w:tcPr>
            <w:tcW w:w="81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1195</w:t>
            </w:r>
          </w:p>
        </w:tc>
        <w:tc>
          <w:tcPr>
            <w:tcW w:w="81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1152</w:t>
            </w:r>
          </w:p>
        </w:tc>
        <w:tc>
          <w:tcPr>
            <w:tcW w:w="816"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423</w:t>
            </w:r>
          </w:p>
        </w:tc>
        <w:tc>
          <w:tcPr>
            <w:tcW w:w="816"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533</w:t>
            </w:r>
          </w:p>
        </w:tc>
        <w:tc>
          <w:tcPr>
            <w:tcW w:w="816"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592</w:t>
            </w:r>
          </w:p>
        </w:tc>
        <w:tc>
          <w:tcPr>
            <w:tcW w:w="75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45,2</w:t>
            </w:r>
          </w:p>
        </w:tc>
        <w:tc>
          <w:tcPr>
            <w:tcW w:w="69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44,3</w:t>
            </w:r>
          </w:p>
        </w:tc>
        <w:tc>
          <w:tcPr>
            <w:tcW w:w="69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16,3</w:t>
            </w:r>
          </w:p>
        </w:tc>
        <w:tc>
          <w:tcPr>
            <w:tcW w:w="69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20,8</w:t>
            </w:r>
          </w:p>
        </w:tc>
        <w:tc>
          <w:tcPr>
            <w:tcW w:w="726"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23,4</w:t>
            </w:r>
          </w:p>
        </w:tc>
      </w:tr>
      <w:tr w:rsidR="00ED7F17" w:rsidTr="00ED7F17">
        <w:trPr>
          <w:trHeight w:val="405"/>
        </w:trPr>
        <w:tc>
          <w:tcPr>
            <w:tcW w:w="1845"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bCs/>
                <w:color w:val="000000"/>
                <w:sz w:val="20"/>
                <w:szCs w:val="20"/>
                <w:lang w:eastAsia="ru-RU"/>
              </w:rPr>
              <w:t xml:space="preserve"> г. Астрахань</w:t>
            </w:r>
          </w:p>
        </w:tc>
        <w:tc>
          <w:tcPr>
            <w:tcW w:w="81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22856</w:t>
            </w:r>
          </w:p>
        </w:tc>
        <w:tc>
          <w:tcPr>
            <w:tcW w:w="81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24052</w:t>
            </w:r>
          </w:p>
        </w:tc>
        <w:tc>
          <w:tcPr>
            <w:tcW w:w="816"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25160</w:t>
            </w:r>
          </w:p>
        </w:tc>
        <w:tc>
          <w:tcPr>
            <w:tcW w:w="816"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27001</w:t>
            </w:r>
          </w:p>
        </w:tc>
        <w:tc>
          <w:tcPr>
            <w:tcW w:w="816"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26731</w:t>
            </w:r>
          </w:p>
        </w:tc>
        <w:tc>
          <w:tcPr>
            <w:tcW w:w="75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53,0</w:t>
            </w:r>
          </w:p>
        </w:tc>
        <w:tc>
          <w:tcPr>
            <w:tcW w:w="69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55,8</w:t>
            </w:r>
          </w:p>
        </w:tc>
        <w:tc>
          <w:tcPr>
            <w:tcW w:w="69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58,8</w:t>
            </w:r>
          </w:p>
        </w:tc>
        <w:tc>
          <w:tcPr>
            <w:tcW w:w="69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63,5</w:t>
            </w:r>
          </w:p>
        </w:tc>
        <w:tc>
          <w:tcPr>
            <w:tcW w:w="726"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63,1</w:t>
            </w:r>
          </w:p>
        </w:tc>
      </w:tr>
      <w:tr w:rsidR="00ED7F17" w:rsidTr="00ED7F17">
        <w:trPr>
          <w:trHeight w:val="315"/>
        </w:trPr>
        <w:tc>
          <w:tcPr>
            <w:tcW w:w="1845"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b/>
                <w:bCs/>
                <w:color w:val="000000"/>
                <w:sz w:val="20"/>
                <w:szCs w:val="20"/>
                <w:lang w:eastAsia="ru-RU"/>
              </w:rPr>
              <w:t>Астраханская область</w:t>
            </w:r>
          </w:p>
        </w:tc>
        <w:tc>
          <w:tcPr>
            <w:tcW w:w="81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46624</w:t>
            </w:r>
          </w:p>
        </w:tc>
        <w:tc>
          <w:tcPr>
            <w:tcW w:w="81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45147</w:t>
            </w:r>
          </w:p>
        </w:tc>
        <w:tc>
          <w:tcPr>
            <w:tcW w:w="816"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44318</w:t>
            </w:r>
          </w:p>
        </w:tc>
        <w:tc>
          <w:tcPr>
            <w:tcW w:w="81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46895</w:t>
            </w:r>
          </w:p>
        </w:tc>
        <w:tc>
          <w:tcPr>
            <w:tcW w:w="816"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47495</w:t>
            </w:r>
          </w:p>
        </w:tc>
        <w:tc>
          <w:tcPr>
            <w:tcW w:w="75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57,7</w:t>
            </w:r>
          </w:p>
        </w:tc>
        <w:tc>
          <w:tcPr>
            <w:tcW w:w="69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56,0</w:t>
            </w:r>
          </w:p>
        </w:tc>
        <w:tc>
          <w:tcPr>
            <w:tcW w:w="69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55,5</w:t>
            </w:r>
          </w:p>
        </w:tc>
        <w:tc>
          <w:tcPr>
            <w:tcW w:w="696"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59,0</w:t>
            </w:r>
          </w:p>
        </w:tc>
        <w:tc>
          <w:tcPr>
            <w:tcW w:w="726"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59,9</w:t>
            </w:r>
          </w:p>
        </w:tc>
      </w:tr>
    </w:tbl>
    <w:p w:rsidR="00ED7F17" w:rsidRDefault="00ED7F17" w:rsidP="00ED7F17">
      <w:pPr>
        <w:pStyle w:val="2f"/>
        <w:spacing w:line="276" w:lineRule="auto"/>
        <w:ind w:left="0" w:firstLine="709"/>
        <w:jc w:val="both"/>
        <w:rPr>
          <w:rFonts w:ascii="Times New Roman" w:hAnsi="Times New Roman"/>
          <w:sz w:val="24"/>
          <w:szCs w:val="24"/>
        </w:rPr>
      </w:pPr>
    </w:p>
    <w:p w:rsidR="00ED7F17" w:rsidRDefault="00ED7F17" w:rsidP="00ED7F17">
      <w:pPr>
        <w:pStyle w:val="2f"/>
        <w:spacing w:line="276" w:lineRule="auto"/>
        <w:ind w:left="0" w:firstLine="709"/>
        <w:jc w:val="both"/>
      </w:pPr>
      <w:r>
        <w:rPr>
          <w:rFonts w:ascii="Times New Roman" w:hAnsi="Times New Roman"/>
          <w:sz w:val="24"/>
          <w:szCs w:val="24"/>
        </w:rPr>
        <w:t>Первичная заболеваемость цереброваскулярными болезнями взрослого населения Астраханской области в 2018 году составила 12,6 на 1000 взрослого населения, что на 11,9% ниже уровня 2017 года (14,3) и на 18,7% ниже уровня 2014 года (15,5).</w:t>
      </w:r>
    </w:p>
    <w:p w:rsidR="00ED7F17" w:rsidRDefault="00ED7F17" w:rsidP="00ED7F17">
      <w:pPr>
        <w:pStyle w:val="2f"/>
        <w:spacing w:line="276" w:lineRule="auto"/>
        <w:ind w:left="0" w:firstLine="709"/>
        <w:jc w:val="both"/>
      </w:pPr>
      <w:r>
        <w:rPr>
          <w:rFonts w:ascii="Times New Roman" w:hAnsi="Times New Roman"/>
          <w:sz w:val="24"/>
          <w:szCs w:val="24"/>
        </w:rPr>
        <w:t>Среди районов Астраханской области наиболее высокий уровень первичной заболеваемости цереброваскулярными болезнями взрослого населения наблюдается в Камызякском районе (25,9 на 1000 взрослого населения), наименьший - в ЗАТО Знаменск (6,2). За 5 лет снижение данного показателя отмечается в Ахтубинском, Володарском, Камызякском, Лиманском, Приволжском, Харабалинском районах, ЗАТО Знаменск, г. Астрахань Наибольшее снижение показателя наблюдается в Харабалинском районе – на 62,0% (с 21,6 до 8,2 на 1000 взрослого населения). В остальных районах наблюдается рост данного показателя. Максимальный рост отмечен в Икряниском районе – на 61,4% (с 11,4 до 18,4 на 1000 взрослого населения), при этом данный показатель выше уровня среднеобластного (12,6).</w:t>
      </w:r>
    </w:p>
    <w:p w:rsidR="00ED7F17" w:rsidRDefault="00ED7F17" w:rsidP="00ED7F17">
      <w:pPr>
        <w:pStyle w:val="2f"/>
        <w:spacing w:line="276" w:lineRule="auto"/>
        <w:ind w:left="0" w:firstLine="709"/>
        <w:jc w:val="both"/>
        <w:rPr>
          <w:rFonts w:ascii="Times New Roman" w:hAnsi="Times New Roman"/>
          <w:sz w:val="24"/>
          <w:szCs w:val="24"/>
        </w:rPr>
      </w:pPr>
    </w:p>
    <w:tbl>
      <w:tblPr>
        <w:tblW w:w="0" w:type="auto"/>
        <w:tblInd w:w="-30" w:type="dxa"/>
        <w:tblLayout w:type="fixed"/>
        <w:tblLook w:val="04A0" w:firstRow="1" w:lastRow="0" w:firstColumn="1" w:lastColumn="0" w:noHBand="0" w:noVBand="1"/>
      </w:tblPr>
      <w:tblGrid>
        <w:gridCol w:w="2400"/>
        <w:gridCol w:w="745"/>
        <w:gridCol w:w="745"/>
        <w:gridCol w:w="745"/>
        <w:gridCol w:w="745"/>
        <w:gridCol w:w="751"/>
        <w:gridCol w:w="745"/>
        <w:gridCol w:w="745"/>
        <w:gridCol w:w="745"/>
        <w:gridCol w:w="745"/>
        <w:gridCol w:w="773"/>
      </w:tblGrid>
      <w:tr w:rsidR="00ED7F17" w:rsidTr="00ED7F17">
        <w:trPr>
          <w:trHeight w:val="450"/>
        </w:trPr>
        <w:tc>
          <w:tcPr>
            <w:tcW w:w="2400" w:type="dxa"/>
            <w:vMerge w:val="restart"/>
            <w:tcBorders>
              <w:top w:val="single" w:sz="8" w:space="0" w:color="000000"/>
              <w:left w:val="single" w:sz="8"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Наименование территории</w:t>
            </w:r>
          </w:p>
        </w:tc>
        <w:tc>
          <w:tcPr>
            <w:tcW w:w="7484" w:type="dxa"/>
            <w:gridSpan w:val="10"/>
            <w:tcBorders>
              <w:top w:val="single" w:sz="4" w:space="0" w:color="000000"/>
              <w:left w:val="single" w:sz="8"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Цереброваскулярные болезни</w:t>
            </w:r>
          </w:p>
        </w:tc>
      </w:tr>
      <w:tr w:rsidR="00ED7F17" w:rsidTr="00ED7F17">
        <w:trPr>
          <w:trHeight w:val="410"/>
        </w:trPr>
        <w:tc>
          <w:tcPr>
            <w:tcW w:w="2400" w:type="dxa"/>
            <w:vMerge/>
            <w:tcBorders>
              <w:top w:val="single" w:sz="8" w:space="0" w:color="000000"/>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7484" w:type="dxa"/>
            <w:gridSpan w:val="10"/>
            <w:tcBorders>
              <w:top w:val="single" w:sz="4" w:space="0" w:color="000000"/>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Первичная заболеваемость (взрослые - 18 лет и старше)</w:t>
            </w:r>
          </w:p>
        </w:tc>
      </w:tr>
      <w:tr w:rsidR="00ED7F17" w:rsidTr="00ED7F17">
        <w:trPr>
          <w:trHeight w:val="360"/>
        </w:trPr>
        <w:tc>
          <w:tcPr>
            <w:tcW w:w="2400" w:type="dxa"/>
            <w:vMerge/>
            <w:tcBorders>
              <w:top w:val="single" w:sz="8" w:space="0" w:color="000000"/>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3731" w:type="dxa"/>
            <w:gridSpan w:val="5"/>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Абсолютное количество</w:t>
            </w:r>
          </w:p>
        </w:tc>
        <w:tc>
          <w:tcPr>
            <w:tcW w:w="3753" w:type="dxa"/>
            <w:gridSpan w:val="5"/>
            <w:tcBorders>
              <w:top w:val="single" w:sz="4" w:space="0" w:color="000000"/>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на 1000 взрослого населения</w:t>
            </w:r>
          </w:p>
        </w:tc>
      </w:tr>
      <w:tr w:rsidR="00ED7F17" w:rsidTr="00ED7F17">
        <w:trPr>
          <w:trHeight w:val="525"/>
        </w:trPr>
        <w:tc>
          <w:tcPr>
            <w:tcW w:w="2400" w:type="dxa"/>
            <w:vMerge/>
            <w:tcBorders>
              <w:top w:val="single" w:sz="8" w:space="0" w:color="000000"/>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2014</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2015</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2016</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2017</w:t>
            </w:r>
          </w:p>
        </w:tc>
        <w:tc>
          <w:tcPr>
            <w:tcW w:w="751" w:type="dxa"/>
            <w:tcBorders>
              <w:top w:val="nil"/>
              <w:left w:val="single" w:sz="4" w:space="0" w:color="000000"/>
              <w:bottom w:val="single" w:sz="4" w:space="0" w:color="000000"/>
              <w:right w:val="nil"/>
            </w:tcBorders>
            <w:shd w:val="clear" w:color="auto" w:fill="FFFFFF"/>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2018</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2014</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2015</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2016</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2017</w:t>
            </w:r>
          </w:p>
        </w:tc>
        <w:tc>
          <w:tcPr>
            <w:tcW w:w="773" w:type="dxa"/>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2018</w:t>
            </w:r>
          </w:p>
        </w:tc>
      </w:tr>
      <w:tr w:rsidR="00ED7F17" w:rsidTr="00ED7F17">
        <w:trPr>
          <w:trHeight w:val="315"/>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Ахтубинский район</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667</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639</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685</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1019</w:t>
            </w:r>
          </w:p>
        </w:tc>
        <w:tc>
          <w:tcPr>
            <w:tcW w:w="751"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473</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13,8</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13,1</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14,3</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21,7</w:t>
            </w:r>
          </w:p>
        </w:tc>
        <w:tc>
          <w:tcPr>
            <w:tcW w:w="773"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10,1</w:t>
            </w:r>
          </w:p>
        </w:tc>
      </w:tr>
      <w:tr w:rsidR="00ED7F17" w:rsidTr="00ED7F17">
        <w:trPr>
          <w:trHeight w:val="315"/>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Володарский район</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604</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762</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717</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750</w:t>
            </w:r>
          </w:p>
        </w:tc>
        <w:tc>
          <w:tcPr>
            <w:tcW w:w="751"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491</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16,8</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21,3</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20,3</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21,5</w:t>
            </w:r>
          </w:p>
        </w:tc>
        <w:tc>
          <w:tcPr>
            <w:tcW w:w="773"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14,1</w:t>
            </w:r>
          </w:p>
        </w:tc>
      </w:tr>
      <w:tr w:rsidR="00ED7F17" w:rsidTr="00ED7F17">
        <w:trPr>
          <w:trHeight w:val="315"/>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Енотаевский район</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312</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501</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438</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452</w:t>
            </w:r>
          </w:p>
        </w:tc>
        <w:tc>
          <w:tcPr>
            <w:tcW w:w="751"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456</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15,5</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25,1</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22,1</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23,0</w:t>
            </w:r>
          </w:p>
        </w:tc>
        <w:tc>
          <w:tcPr>
            <w:tcW w:w="773"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23,4</w:t>
            </w:r>
          </w:p>
        </w:tc>
      </w:tr>
      <w:tr w:rsidR="00ED7F17" w:rsidTr="00ED7F17">
        <w:trPr>
          <w:trHeight w:val="345"/>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Икрянинский район</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429</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399</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402</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404</w:t>
            </w:r>
          </w:p>
        </w:tc>
        <w:tc>
          <w:tcPr>
            <w:tcW w:w="751"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670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11,4</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10,7</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10,9</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11,0</w:t>
            </w:r>
          </w:p>
        </w:tc>
        <w:tc>
          <w:tcPr>
            <w:tcW w:w="773"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18,4</w:t>
            </w:r>
          </w:p>
        </w:tc>
      </w:tr>
      <w:tr w:rsidR="00ED7F17" w:rsidTr="00ED7F17">
        <w:trPr>
          <w:trHeight w:val="315"/>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Камызякский район</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1351</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1616</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1215</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1189</w:t>
            </w:r>
          </w:p>
        </w:tc>
        <w:tc>
          <w:tcPr>
            <w:tcW w:w="751"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951</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35,4</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42,8</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32,4</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32,0</w:t>
            </w:r>
          </w:p>
        </w:tc>
        <w:tc>
          <w:tcPr>
            <w:tcW w:w="773"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25,9</w:t>
            </w:r>
          </w:p>
        </w:tc>
      </w:tr>
      <w:tr w:rsidR="00ED7F17" w:rsidTr="00ED7F17">
        <w:trPr>
          <w:trHeight w:val="315"/>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Красноярский район</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285</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230</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453</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340</w:t>
            </w:r>
          </w:p>
        </w:tc>
        <w:tc>
          <w:tcPr>
            <w:tcW w:w="751"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374</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10,5</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8,4</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16,5</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12,3</w:t>
            </w:r>
          </w:p>
        </w:tc>
        <w:tc>
          <w:tcPr>
            <w:tcW w:w="773"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13,6</w:t>
            </w:r>
          </w:p>
        </w:tc>
      </w:tr>
      <w:tr w:rsidR="00ED7F17" w:rsidTr="00ED7F17">
        <w:trPr>
          <w:trHeight w:val="300"/>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Лиманский район</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391</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281</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246</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244</w:t>
            </w:r>
          </w:p>
        </w:tc>
        <w:tc>
          <w:tcPr>
            <w:tcW w:w="751"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183</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16,1</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11,8</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10,4</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10,5</w:t>
            </w:r>
          </w:p>
        </w:tc>
        <w:tc>
          <w:tcPr>
            <w:tcW w:w="773"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8,0</w:t>
            </w:r>
          </w:p>
        </w:tc>
      </w:tr>
      <w:tr w:rsidR="00ED7F17" w:rsidTr="00ED7F17">
        <w:trPr>
          <w:trHeight w:val="390"/>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Наримановский район</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359</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251</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466</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593</w:t>
            </w:r>
          </w:p>
        </w:tc>
        <w:tc>
          <w:tcPr>
            <w:tcW w:w="751"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415</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6,9</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12,8</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16,4</w:t>
            </w:r>
          </w:p>
        </w:tc>
        <w:tc>
          <w:tcPr>
            <w:tcW w:w="773"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10,3</w:t>
            </w:r>
          </w:p>
        </w:tc>
      </w:tr>
      <w:tr w:rsidR="00ED7F17" w:rsidTr="00ED7F17">
        <w:trPr>
          <w:trHeight w:val="315"/>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Приволжский район</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320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268</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334</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357</w:t>
            </w:r>
          </w:p>
        </w:tc>
        <w:tc>
          <w:tcPr>
            <w:tcW w:w="751"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351</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9,2</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7,5</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9,2</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9,7</w:t>
            </w:r>
          </w:p>
        </w:tc>
        <w:tc>
          <w:tcPr>
            <w:tcW w:w="773"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8,2</w:t>
            </w:r>
          </w:p>
        </w:tc>
      </w:tr>
      <w:tr w:rsidR="00ED7F17" w:rsidTr="00ED7F17">
        <w:trPr>
          <w:trHeight w:val="315"/>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Харабалинский район</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687</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312</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274</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496</w:t>
            </w:r>
          </w:p>
        </w:tc>
        <w:tc>
          <w:tcPr>
            <w:tcW w:w="751"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253</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21,6</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9,9</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8,8</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16,0</w:t>
            </w:r>
          </w:p>
        </w:tc>
        <w:tc>
          <w:tcPr>
            <w:tcW w:w="773"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8,2</w:t>
            </w:r>
          </w:p>
        </w:tc>
      </w:tr>
      <w:tr w:rsidR="00ED7F17" w:rsidTr="00ED7F17">
        <w:trPr>
          <w:trHeight w:val="315"/>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Черноярский район</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311</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288</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280</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261</w:t>
            </w:r>
          </w:p>
        </w:tc>
        <w:tc>
          <w:tcPr>
            <w:tcW w:w="751"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268</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19,8</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18,4</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18,1</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17,0</w:t>
            </w:r>
          </w:p>
        </w:tc>
        <w:tc>
          <w:tcPr>
            <w:tcW w:w="773"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23,1</w:t>
            </w:r>
          </w:p>
        </w:tc>
      </w:tr>
      <w:tr w:rsidR="00ED7F17" w:rsidTr="00ED7F17">
        <w:trPr>
          <w:trHeight w:val="315"/>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 xml:space="preserve">г. Знаменск </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209</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972</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229</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198</w:t>
            </w:r>
          </w:p>
        </w:tc>
        <w:tc>
          <w:tcPr>
            <w:tcW w:w="751"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157</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7,9</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37,4</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8,8</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7,7</w:t>
            </w:r>
          </w:p>
        </w:tc>
        <w:tc>
          <w:tcPr>
            <w:tcW w:w="773"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6,2</w:t>
            </w:r>
          </w:p>
        </w:tc>
      </w:tr>
      <w:tr w:rsidR="00ED7F17" w:rsidTr="00ED7F17">
        <w:trPr>
          <w:trHeight w:val="405"/>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bCs/>
                <w:color w:val="000000"/>
                <w:sz w:val="20"/>
                <w:szCs w:val="20"/>
                <w:lang w:eastAsia="ru-RU"/>
              </w:rPr>
              <w:t xml:space="preserve"> г. Астрахань</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6622</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5935</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4646</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5059</w:t>
            </w:r>
          </w:p>
        </w:tc>
        <w:tc>
          <w:tcPr>
            <w:tcW w:w="751"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4943</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15,4</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13,8</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10,8</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11,9</w:t>
            </w:r>
          </w:p>
        </w:tc>
        <w:tc>
          <w:tcPr>
            <w:tcW w:w="773"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11,7</w:t>
            </w:r>
          </w:p>
        </w:tc>
      </w:tr>
      <w:tr w:rsidR="00ED7F17" w:rsidTr="00ED7F17">
        <w:trPr>
          <w:trHeight w:val="315"/>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b/>
                <w:bCs/>
                <w:color w:val="000000"/>
                <w:sz w:val="20"/>
                <w:szCs w:val="20"/>
                <w:lang w:eastAsia="ru-RU"/>
              </w:rPr>
              <w:t>Астраханская область</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12547</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12454</w:t>
            </w:r>
          </w:p>
        </w:tc>
        <w:tc>
          <w:tcPr>
            <w:tcW w:w="74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10385</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11362</w:t>
            </w:r>
          </w:p>
        </w:tc>
        <w:tc>
          <w:tcPr>
            <w:tcW w:w="751"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9985</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15,5</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15,4</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12,9</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14,3</w:t>
            </w:r>
          </w:p>
        </w:tc>
        <w:tc>
          <w:tcPr>
            <w:tcW w:w="773" w:type="dxa"/>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12,6</w:t>
            </w:r>
          </w:p>
        </w:tc>
      </w:tr>
    </w:tbl>
    <w:p w:rsidR="00ED7F17" w:rsidRDefault="00ED7F17" w:rsidP="00ED7F17">
      <w:pPr>
        <w:pStyle w:val="2f"/>
        <w:spacing w:line="276" w:lineRule="auto"/>
        <w:ind w:left="0" w:firstLine="709"/>
        <w:jc w:val="both"/>
      </w:pPr>
    </w:p>
    <w:p w:rsidR="00ED7F17" w:rsidRDefault="00ED7F17" w:rsidP="00ED7F17">
      <w:pPr>
        <w:pStyle w:val="2f"/>
        <w:spacing w:line="276" w:lineRule="auto"/>
        <w:ind w:left="0" w:firstLine="709"/>
        <w:jc w:val="both"/>
      </w:pPr>
      <w:r>
        <w:rPr>
          <w:rFonts w:ascii="Times New Roman" w:hAnsi="Times New Roman"/>
          <w:sz w:val="24"/>
          <w:szCs w:val="24"/>
        </w:rPr>
        <w:t xml:space="preserve">Общая и первичная заболеваемость острыми нарушениями мозгового кровообращения: субарахноидальное кровоизлияние (I 60), являются идентичными и в 2018 году составили 0,07 на 1000 населения, что на 20% ниже уровня 2014 года (0,06 на 1000 населения). </w:t>
      </w:r>
    </w:p>
    <w:p w:rsidR="00ED7F17" w:rsidRDefault="00ED7F17" w:rsidP="00ED7F17">
      <w:pPr>
        <w:pStyle w:val="2f"/>
        <w:spacing w:line="276" w:lineRule="auto"/>
        <w:ind w:left="0" w:firstLine="709"/>
        <w:jc w:val="both"/>
      </w:pPr>
      <w:r>
        <w:rPr>
          <w:rFonts w:ascii="Times New Roman" w:hAnsi="Times New Roman"/>
          <w:sz w:val="24"/>
          <w:szCs w:val="24"/>
        </w:rPr>
        <w:t xml:space="preserve">Показатель заболеваемость субарахноидальным кровоизлиянием взрослого населения Астраханской области за 5 лет не изменился и составил 0,1 на 1000 взрослого населения. Среди районов Астраханской области наибольший показатель отмечается в Икрянинском районе – 0,7 на 1000 взрослого населения. В Енотаевском, Приволжском районах и ЗАТО Знаменск в 2018 году не зарегистрировано ни одного случая данной патологии. </w:t>
      </w:r>
    </w:p>
    <w:p w:rsidR="00ED7F17" w:rsidRDefault="00ED7F17" w:rsidP="00ED7F17">
      <w:pPr>
        <w:pStyle w:val="2f"/>
        <w:spacing w:line="276" w:lineRule="auto"/>
        <w:ind w:left="0" w:firstLine="709"/>
        <w:jc w:val="both"/>
        <w:rPr>
          <w:rFonts w:ascii="Times New Roman" w:hAnsi="Times New Roman"/>
          <w:sz w:val="24"/>
          <w:szCs w:val="24"/>
        </w:rPr>
      </w:pPr>
    </w:p>
    <w:tbl>
      <w:tblPr>
        <w:tblW w:w="0" w:type="auto"/>
        <w:tblInd w:w="-30" w:type="dxa"/>
        <w:tblLayout w:type="fixed"/>
        <w:tblLook w:val="04A0" w:firstRow="1" w:lastRow="0" w:firstColumn="1" w:lastColumn="0" w:noHBand="0" w:noVBand="1"/>
      </w:tblPr>
      <w:tblGrid>
        <w:gridCol w:w="2441"/>
        <w:gridCol w:w="898"/>
        <w:gridCol w:w="718"/>
        <w:gridCol w:w="717"/>
        <w:gridCol w:w="717"/>
        <w:gridCol w:w="717"/>
        <w:gridCol w:w="778"/>
        <w:gridCol w:w="717"/>
        <w:gridCol w:w="717"/>
        <w:gridCol w:w="717"/>
        <w:gridCol w:w="717"/>
        <w:gridCol w:w="30"/>
      </w:tblGrid>
      <w:tr w:rsidR="00ED7F17" w:rsidTr="00ED7F17">
        <w:trPr>
          <w:gridAfter w:val="1"/>
          <w:wAfter w:w="30" w:type="dxa"/>
          <w:trHeight w:val="450"/>
        </w:trPr>
        <w:tc>
          <w:tcPr>
            <w:tcW w:w="2441" w:type="dxa"/>
            <w:vMerge w:val="restart"/>
            <w:tcBorders>
              <w:top w:val="single" w:sz="8" w:space="0" w:color="000000"/>
              <w:left w:val="single" w:sz="8"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Наименование территории</w:t>
            </w:r>
          </w:p>
        </w:tc>
        <w:tc>
          <w:tcPr>
            <w:tcW w:w="7413" w:type="dxa"/>
            <w:gridSpan w:val="10"/>
            <w:tcBorders>
              <w:top w:val="single" w:sz="4" w:space="0" w:color="000000"/>
              <w:left w:val="single" w:sz="8"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Субарохноидальное кровоизлияние</w:t>
            </w:r>
          </w:p>
        </w:tc>
      </w:tr>
      <w:tr w:rsidR="00ED7F17" w:rsidTr="00ED7F17">
        <w:trPr>
          <w:trHeight w:val="344"/>
        </w:trPr>
        <w:tc>
          <w:tcPr>
            <w:tcW w:w="2441" w:type="dxa"/>
            <w:vMerge/>
            <w:tcBorders>
              <w:top w:val="single" w:sz="8" w:space="0" w:color="000000"/>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7443" w:type="dxa"/>
            <w:gridSpan w:val="11"/>
            <w:tcBorders>
              <w:top w:val="single" w:sz="4" w:space="0" w:color="000000"/>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Заболеваемость (взрослые - 18 лет и старше)</w:t>
            </w:r>
          </w:p>
        </w:tc>
      </w:tr>
      <w:tr w:rsidR="00ED7F17" w:rsidTr="00ED7F17">
        <w:trPr>
          <w:trHeight w:val="360"/>
        </w:trPr>
        <w:tc>
          <w:tcPr>
            <w:tcW w:w="2441" w:type="dxa"/>
            <w:vMerge/>
            <w:tcBorders>
              <w:top w:val="single" w:sz="8" w:space="0" w:color="000000"/>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3767" w:type="dxa"/>
            <w:gridSpan w:val="5"/>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Абсолютное количество</w:t>
            </w:r>
          </w:p>
        </w:tc>
        <w:tc>
          <w:tcPr>
            <w:tcW w:w="3676" w:type="dxa"/>
            <w:gridSpan w:val="6"/>
            <w:tcBorders>
              <w:top w:val="single" w:sz="4" w:space="0" w:color="000000"/>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на 1000 взрослого населения</w:t>
            </w:r>
          </w:p>
        </w:tc>
      </w:tr>
      <w:tr w:rsidR="00ED7F17" w:rsidTr="00ED7F17">
        <w:trPr>
          <w:trHeight w:val="525"/>
        </w:trPr>
        <w:tc>
          <w:tcPr>
            <w:tcW w:w="2441" w:type="dxa"/>
            <w:vMerge/>
            <w:tcBorders>
              <w:top w:val="single" w:sz="8" w:space="0" w:color="000000"/>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89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2014</w:t>
            </w:r>
          </w:p>
        </w:tc>
        <w:tc>
          <w:tcPr>
            <w:tcW w:w="71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2015</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2016</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2017</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2018</w:t>
            </w:r>
          </w:p>
        </w:tc>
        <w:tc>
          <w:tcPr>
            <w:tcW w:w="77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2014</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2015</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2016</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2017</w:t>
            </w:r>
          </w:p>
        </w:tc>
        <w:tc>
          <w:tcPr>
            <w:tcW w:w="747"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2018</w:t>
            </w:r>
          </w:p>
        </w:tc>
      </w:tr>
      <w:tr w:rsidR="00ED7F17" w:rsidTr="00ED7F17">
        <w:trPr>
          <w:trHeight w:val="315"/>
        </w:trPr>
        <w:tc>
          <w:tcPr>
            <w:tcW w:w="2441"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Ахтубинский район</w:t>
            </w:r>
          </w:p>
        </w:tc>
        <w:tc>
          <w:tcPr>
            <w:tcW w:w="89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w:t>
            </w:r>
          </w:p>
        </w:tc>
        <w:tc>
          <w:tcPr>
            <w:tcW w:w="71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w:t>
            </w:r>
          </w:p>
        </w:tc>
        <w:tc>
          <w:tcPr>
            <w:tcW w:w="71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w:t>
            </w:r>
          </w:p>
        </w:tc>
        <w:tc>
          <w:tcPr>
            <w:tcW w:w="71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w:t>
            </w:r>
          </w:p>
        </w:tc>
        <w:tc>
          <w:tcPr>
            <w:tcW w:w="71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w:t>
            </w:r>
          </w:p>
        </w:tc>
        <w:tc>
          <w:tcPr>
            <w:tcW w:w="778" w:type="dxa"/>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rPr>
              <w:t>0,10</w:t>
            </w:r>
          </w:p>
        </w:tc>
        <w:tc>
          <w:tcPr>
            <w:tcW w:w="717" w:type="dxa"/>
            <w:tcBorders>
              <w:top w:val="single" w:sz="4" w:space="0" w:color="000000"/>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0,10</w:t>
            </w:r>
          </w:p>
        </w:tc>
        <w:tc>
          <w:tcPr>
            <w:tcW w:w="717" w:type="dxa"/>
            <w:tcBorders>
              <w:top w:val="single" w:sz="4" w:space="0" w:color="000000"/>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0,08</w:t>
            </w:r>
          </w:p>
        </w:tc>
        <w:tc>
          <w:tcPr>
            <w:tcW w:w="717" w:type="dxa"/>
            <w:tcBorders>
              <w:top w:val="single" w:sz="4" w:space="0" w:color="000000"/>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0,26</w:t>
            </w:r>
          </w:p>
        </w:tc>
        <w:tc>
          <w:tcPr>
            <w:tcW w:w="747" w:type="dxa"/>
            <w:gridSpan w:val="2"/>
            <w:tcBorders>
              <w:top w:val="single" w:sz="4" w:space="0" w:color="000000"/>
              <w:left w:val="single" w:sz="4" w:space="0" w:color="000000"/>
              <w:bottom w:val="single" w:sz="4" w:space="0" w:color="000000"/>
              <w:right w:val="single" w:sz="4" w:space="0" w:color="000000"/>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0,06</w:t>
            </w:r>
          </w:p>
        </w:tc>
      </w:tr>
      <w:tr w:rsidR="00ED7F17" w:rsidTr="00ED7F17">
        <w:trPr>
          <w:trHeight w:val="315"/>
        </w:trPr>
        <w:tc>
          <w:tcPr>
            <w:tcW w:w="2441"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Володарский район</w:t>
            </w:r>
          </w:p>
        </w:tc>
        <w:tc>
          <w:tcPr>
            <w:tcW w:w="89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w:t>
            </w:r>
          </w:p>
        </w:tc>
        <w:tc>
          <w:tcPr>
            <w:tcW w:w="71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w:t>
            </w:r>
          </w:p>
        </w:tc>
        <w:tc>
          <w:tcPr>
            <w:tcW w:w="71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1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w:t>
            </w:r>
          </w:p>
        </w:tc>
        <w:tc>
          <w:tcPr>
            <w:tcW w:w="71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w:t>
            </w:r>
          </w:p>
        </w:tc>
        <w:tc>
          <w:tcPr>
            <w:tcW w:w="778"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0,30</w:t>
            </w:r>
          </w:p>
        </w:tc>
        <w:tc>
          <w:tcPr>
            <w:tcW w:w="717"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0,10</w:t>
            </w:r>
          </w:p>
        </w:tc>
        <w:tc>
          <w:tcPr>
            <w:tcW w:w="717"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0,00</w:t>
            </w:r>
          </w:p>
        </w:tc>
        <w:tc>
          <w:tcPr>
            <w:tcW w:w="717"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0,09</w:t>
            </w:r>
          </w:p>
        </w:tc>
        <w:tc>
          <w:tcPr>
            <w:tcW w:w="747" w:type="dxa"/>
            <w:gridSpan w:val="2"/>
            <w:tcBorders>
              <w:top w:val="nil"/>
              <w:left w:val="single" w:sz="4" w:space="0" w:color="000000"/>
              <w:bottom w:val="single" w:sz="4" w:space="0" w:color="000000"/>
              <w:right w:val="single" w:sz="4" w:space="0" w:color="000000"/>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0,09</w:t>
            </w:r>
          </w:p>
        </w:tc>
      </w:tr>
      <w:tr w:rsidR="00ED7F17" w:rsidTr="00ED7F17">
        <w:trPr>
          <w:trHeight w:val="315"/>
        </w:trPr>
        <w:tc>
          <w:tcPr>
            <w:tcW w:w="2441"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Енотаевский район</w:t>
            </w:r>
          </w:p>
        </w:tc>
        <w:tc>
          <w:tcPr>
            <w:tcW w:w="89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w:t>
            </w:r>
          </w:p>
        </w:tc>
        <w:tc>
          <w:tcPr>
            <w:tcW w:w="71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w:t>
            </w:r>
          </w:p>
        </w:tc>
        <w:tc>
          <w:tcPr>
            <w:tcW w:w="71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1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1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78"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0,10</w:t>
            </w:r>
          </w:p>
        </w:tc>
        <w:tc>
          <w:tcPr>
            <w:tcW w:w="717"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0,10</w:t>
            </w:r>
          </w:p>
        </w:tc>
        <w:tc>
          <w:tcPr>
            <w:tcW w:w="717"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0,00</w:t>
            </w:r>
          </w:p>
        </w:tc>
        <w:tc>
          <w:tcPr>
            <w:tcW w:w="717"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0,00</w:t>
            </w:r>
          </w:p>
        </w:tc>
        <w:tc>
          <w:tcPr>
            <w:tcW w:w="747" w:type="dxa"/>
            <w:gridSpan w:val="2"/>
            <w:tcBorders>
              <w:top w:val="nil"/>
              <w:left w:val="single" w:sz="4" w:space="0" w:color="000000"/>
              <w:bottom w:val="single" w:sz="4" w:space="0" w:color="000000"/>
              <w:right w:val="single" w:sz="4" w:space="0" w:color="000000"/>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0,00</w:t>
            </w:r>
          </w:p>
        </w:tc>
      </w:tr>
      <w:tr w:rsidR="00ED7F17" w:rsidTr="00ED7F17">
        <w:trPr>
          <w:trHeight w:val="345"/>
        </w:trPr>
        <w:tc>
          <w:tcPr>
            <w:tcW w:w="2441"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Икрянинский район</w:t>
            </w:r>
          </w:p>
        </w:tc>
        <w:tc>
          <w:tcPr>
            <w:tcW w:w="89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w:t>
            </w:r>
          </w:p>
        </w:tc>
        <w:tc>
          <w:tcPr>
            <w:tcW w:w="71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w:t>
            </w:r>
          </w:p>
        </w:tc>
        <w:tc>
          <w:tcPr>
            <w:tcW w:w="71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1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w:t>
            </w:r>
          </w:p>
        </w:tc>
        <w:tc>
          <w:tcPr>
            <w:tcW w:w="71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25</w:t>
            </w:r>
          </w:p>
        </w:tc>
        <w:tc>
          <w:tcPr>
            <w:tcW w:w="778"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0,10</w:t>
            </w:r>
          </w:p>
        </w:tc>
        <w:tc>
          <w:tcPr>
            <w:tcW w:w="717"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0,03</w:t>
            </w:r>
          </w:p>
        </w:tc>
        <w:tc>
          <w:tcPr>
            <w:tcW w:w="717"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0,00</w:t>
            </w:r>
          </w:p>
        </w:tc>
        <w:tc>
          <w:tcPr>
            <w:tcW w:w="717"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0,05</w:t>
            </w:r>
          </w:p>
        </w:tc>
        <w:tc>
          <w:tcPr>
            <w:tcW w:w="747" w:type="dxa"/>
            <w:gridSpan w:val="2"/>
            <w:tcBorders>
              <w:top w:val="nil"/>
              <w:left w:val="single" w:sz="4" w:space="0" w:color="000000"/>
              <w:bottom w:val="single" w:sz="4" w:space="0" w:color="000000"/>
              <w:right w:val="single" w:sz="4" w:space="0" w:color="000000"/>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0,69</w:t>
            </w:r>
          </w:p>
        </w:tc>
      </w:tr>
      <w:tr w:rsidR="00ED7F17" w:rsidTr="00ED7F17">
        <w:trPr>
          <w:trHeight w:val="315"/>
        </w:trPr>
        <w:tc>
          <w:tcPr>
            <w:tcW w:w="2441"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Камызякский район</w:t>
            </w:r>
          </w:p>
        </w:tc>
        <w:tc>
          <w:tcPr>
            <w:tcW w:w="89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w:t>
            </w:r>
          </w:p>
        </w:tc>
        <w:tc>
          <w:tcPr>
            <w:tcW w:w="71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w:t>
            </w:r>
          </w:p>
        </w:tc>
        <w:tc>
          <w:tcPr>
            <w:tcW w:w="71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1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1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w:t>
            </w:r>
          </w:p>
        </w:tc>
        <w:tc>
          <w:tcPr>
            <w:tcW w:w="778"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0,10</w:t>
            </w:r>
          </w:p>
        </w:tc>
        <w:tc>
          <w:tcPr>
            <w:tcW w:w="717"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0,10</w:t>
            </w:r>
          </w:p>
        </w:tc>
        <w:tc>
          <w:tcPr>
            <w:tcW w:w="717"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0,00</w:t>
            </w:r>
          </w:p>
        </w:tc>
        <w:tc>
          <w:tcPr>
            <w:tcW w:w="717"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0,00</w:t>
            </w:r>
          </w:p>
        </w:tc>
        <w:tc>
          <w:tcPr>
            <w:tcW w:w="747" w:type="dxa"/>
            <w:gridSpan w:val="2"/>
            <w:tcBorders>
              <w:top w:val="nil"/>
              <w:left w:val="single" w:sz="4" w:space="0" w:color="000000"/>
              <w:bottom w:val="single" w:sz="4" w:space="0" w:color="000000"/>
              <w:right w:val="single" w:sz="4" w:space="0" w:color="000000"/>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0,03</w:t>
            </w:r>
          </w:p>
        </w:tc>
      </w:tr>
      <w:tr w:rsidR="00ED7F17" w:rsidTr="00ED7F17">
        <w:trPr>
          <w:trHeight w:val="390"/>
        </w:trPr>
        <w:tc>
          <w:tcPr>
            <w:tcW w:w="2441"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Красноярский район</w:t>
            </w:r>
          </w:p>
        </w:tc>
        <w:tc>
          <w:tcPr>
            <w:tcW w:w="89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15</w:t>
            </w:r>
          </w:p>
        </w:tc>
        <w:tc>
          <w:tcPr>
            <w:tcW w:w="71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1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1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w:t>
            </w:r>
          </w:p>
        </w:tc>
        <w:tc>
          <w:tcPr>
            <w:tcW w:w="71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w:t>
            </w:r>
          </w:p>
        </w:tc>
        <w:tc>
          <w:tcPr>
            <w:tcW w:w="778"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0,60</w:t>
            </w:r>
          </w:p>
        </w:tc>
        <w:tc>
          <w:tcPr>
            <w:tcW w:w="717"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0,00</w:t>
            </w:r>
          </w:p>
        </w:tc>
        <w:tc>
          <w:tcPr>
            <w:tcW w:w="717"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0,00</w:t>
            </w:r>
          </w:p>
        </w:tc>
        <w:tc>
          <w:tcPr>
            <w:tcW w:w="717"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0,04</w:t>
            </w:r>
          </w:p>
        </w:tc>
        <w:tc>
          <w:tcPr>
            <w:tcW w:w="747" w:type="dxa"/>
            <w:gridSpan w:val="2"/>
            <w:tcBorders>
              <w:top w:val="nil"/>
              <w:left w:val="single" w:sz="4" w:space="0" w:color="000000"/>
              <w:bottom w:val="single" w:sz="4" w:space="0" w:color="000000"/>
              <w:right w:val="single" w:sz="4" w:space="0" w:color="000000"/>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0,36</w:t>
            </w:r>
          </w:p>
        </w:tc>
      </w:tr>
      <w:tr w:rsidR="00ED7F17" w:rsidTr="00ED7F17">
        <w:trPr>
          <w:trHeight w:val="345"/>
        </w:trPr>
        <w:tc>
          <w:tcPr>
            <w:tcW w:w="2441"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Лиманский район</w:t>
            </w:r>
          </w:p>
        </w:tc>
        <w:tc>
          <w:tcPr>
            <w:tcW w:w="89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w:t>
            </w:r>
          </w:p>
        </w:tc>
        <w:tc>
          <w:tcPr>
            <w:tcW w:w="71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w:t>
            </w:r>
          </w:p>
        </w:tc>
        <w:tc>
          <w:tcPr>
            <w:tcW w:w="71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1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1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w:t>
            </w:r>
          </w:p>
        </w:tc>
        <w:tc>
          <w:tcPr>
            <w:tcW w:w="778"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0,10</w:t>
            </w:r>
          </w:p>
        </w:tc>
        <w:tc>
          <w:tcPr>
            <w:tcW w:w="717"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0,04</w:t>
            </w:r>
          </w:p>
        </w:tc>
        <w:tc>
          <w:tcPr>
            <w:tcW w:w="717"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0,00</w:t>
            </w:r>
          </w:p>
        </w:tc>
        <w:tc>
          <w:tcPr>
            <w:tcW w:w="717"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0,00</w:t>
            </w:r>
          </w:p>
        </w:tc>
        <w:tc>
          <w:tcPr>
            <w:tcW w:w="747" w:type="dxa"/>
            <w:gridSpan w:val="2"/>
            <w:tcBorders>
              <w:top w:val="nil"/>
              <w:left w:val="single" w:sz="4" w:space="0" w:color="000000"/>
              <w:bottom w:val="single" w:sz="4" w:space="0" w:color="000000"/>
              <w:right w:val="single" w:sz="4" w:space="0" w:color="000000"/>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0,04</w:t>
            </w:r>
          </w:p>
        </w:tc>
      </w:tr>
      <w:tr w:rsidR="00ED7F17" w:rsidTr="00ED7F17">
        <w:trPr>
          <w:trHeight w:val="345"/>
        </w:trPr>
        <w:tc>
          <w:tcPr>
            <w:tcW w:w="2441"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Наримановский район</w:t>
            </w:r>
          </w:p>
        </w:tc>
        <w:tc>
          <w:tcPr>
            <w:tcW w:w="89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w:t>
            </w:r>
          </w:p>
        </w:tc>
        <w:tc>
          <w:tcPr>
            <w:tcW w:w="71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w:t>
            </w:r>
          </w:p>
        </w:tc>
        <w:tc>
          <w:tcPr>
            <w:tcW w:w="71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w:t>
            </w:r>
          </w:p>
        </w:tc>
        <w:tc>
          <w:tcPr>
            <w:tcW w:w="71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w:t>
            </w:r>
          </w:p>
        </w:tc>
        <w:tc>
          <w:tcPr>
            <w:tcW w:w="71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w:t>
            </w:r>
          </w:p>
        </w:tc>
        <w:tc>
          <w:tcPr>
            <w:tcW w:w="778"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0,20</w:t>
            </w:r>
          </w:p>
        </w:tc>
        <w:tc>
          <w:tcPr>
            <w:tcW w:w="717"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0,30</w:t>
            </w:r>
          </w:p>
        </w:tc>
        <w:tc>
          <w:tcPr>
            <w:tcW w:w="717"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0,17</w:t>
            </w:r>
          </w:p>
        </w:tc>
        <w:tc>
          <w:tcPr>
            <w:tcW w:w="717"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0,11</w:t>
            </w:r>
          </w:p>
        </w:tc>
        <w:tc>
          <w:tcPr>
            <w:tcW w:w="747" w:type="dxa"/>
            <w:gridSpan w:val="2"/>
            <w:tcBorders>
              <w:top w:val="nil"/>
              <w:left w:val="single" w:sz="4" w:space="0" w:color="000000"/>
              <w:bottom w:val="single" w:sz="4" w:space="0" w:color="000000"/>
              <w:right w:val="single" w:sz="4" w:space="0" w:color="000000"/>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0,20</w:t>
            </w:r>
          </w:p>
        </w:tc>
      </w:tr>
      <w:tr w:rsidR="00ED7F17" w:rsidTr="00ED7F17">
        <w:trPr>
          <w:trHeight w:val="315"/>
        </w:trPr>
        <w:tc>
          <w:tcPr>
            <w:tcW w:w="2441"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Приволжский район</w:t>
            </w:r>
          </w:p>
        </w:tc>
        <w:tc>
          <w:tcPr>
            <w:tcW w:w="89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1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1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1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1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78"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0,00</w:t>
            </w:r>
          </w:p>
        </w:tc>
        <w:tc>
          <w:tcPr>
            <w:tcW w:w="717"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0,00</w:t>
            </w:r>
          </w:p>
        </w:tc>
        <w:tc>
          <w:tcPr>
            <w:tcW w:w="717"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0,00</w:t>
            </w:r>
          </w:p>
        </w:tc>
        <w:tc>
          <w:tcPr>
            <w:tcW w:w="717"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0,00</w:t>
            </w:r>
          </w:p>
        </w:tc>
        <w:tc>
          <w:tcPr>
            <w:tcW w:w="747" w:type="dxa"/>
            <w:gridSpan w:val="2"/>
            <w:tcBorders>
              <w:top w:val="nil"/>
              <w:left w:val="single" w:sz="4" w:space="0" w:color="000000"/>
              <w:bottom w:val="single" w:sz="4" w:space="0" w:color="000000"/>
              <w:right w:val="single" w:sz="4" w:space="0" w:color="000000"/>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0,00</w:t>
            </w:r>
          </w:p>
        </w:tc>
      </w:tr>
      <w:tr w:rsidR="00ED7F17" w:rsidTr="00ED7F17">
        <w:trPr>
          <w:trHeight w:val="315"/>
        </w:trPr>
        <w:tc>
          <w:tcPr>
            <w:tcW w:w="2441"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Харабалинский район</w:t>
            </w:r>
          </w:p>
        </w:tc>
        <w:tc>
          <w:tcPr>
            <w:tcW w:w="89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w:t>
            </w:r>
          </w:p>
        </w:tc>
        <w:tc>
          <w:tcPr>
            <w:tcW w:w="71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w:t>
            </w:r>
          </w:p>
        </w:tc>
        <w:tc>
          <w:tcPr>
            <w:tcW w:w="71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w:t>
            </w:r>
          </w:p>
        </w:tc>
        <w:tc>
          <w:tcPr>
            <w:tcW w:w="71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w:t>
            </w:r>
          </w:p>
        </w:tc>
        <w:tc>
          <w:tcPr>
            <w:tcW w:w="71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w:t>
            </w:r>
          </w:p>
        </w:tc>
        <w:tc>
          <w:tcPr>
            <w:tcW w:w="778"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0,20</w:t>
            </w:r>
          </w:p>
        </w:tc>
        <w:tc>
          <w:tcPr>
            <w:tcW w:w="717"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0,20</w:t>
            </w:r>
          </w:p>
        </w:tc>
        <w:tc>
          <w:tcPr>
            <w:tcW w:w="717"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0,26</w:t>
            </w:r>
          </w:p>
        </w:tc>
        <w:tc>
          <w:tcPr>
            <w:tcW w:w="717"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0,42</w:t>
            </w:r>
          </w:p>
        </w:tc>
        <w:tc>
          <w:tcPr>
            <w:tcW w:w="747" w:type="dxa"/>
            <w:gridSpan w:val="2"/>
            <w:tcBorders>
              <w:top w:val="nil"/>
              <w:left w:val="single" w:sz="4" w:space="0" w:color="000000"/>
              <w:bottom w:val="single" w:sz="4" w:space="0" w:color="000000"/>
              <w:right w:val="single" w:sz="4" w:space="0" w:color="000000"/>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0,19</w:t>
            </w:r>
          </w:p>
        </w:tc>
      </w:tr>
      <w:tr w:rsidR="00ED7F17" w:rsidTr="00ED7F17">
        <w:trPr>
          <w:trHeight w:val="315"/>
        </w:trPr>
        <w:tc>
          <w:tcPr>
            <w:tcW w:w="2441"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Черноярский район</w:t>
            </w:r>
          </w:p>
        </w:tc>
        <w:tc>
          <w:tcPr>
            <w:tcW w:w="89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w:t>
            </w:r>
          </w:p>
        </w:tc>
        <w:tc>
          <w:tcPr>
            <w:tcW w:w="71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w:t>
            </w:r>
          </w:p>
        </w:tc>
        <w:tc>
          <w:tcPr>
            <w:tcW w:w="71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w:t>
            </w:r>
          </w:p>
        </w:tc>
        <w:tc>
          <w:tcPr>
            <w:tcW w:w="71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w:t>
            </w:r>
          </w:p>
        </w:tc>
        <w:tc>
          <w:tcPr>
            <w:tcW w:w="71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w:t>
            </w:r>
          </w:p>
        </w:tc>
        <w:tc>
          <w:tcPr>
            <w:tcW w:w="778"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0,30</w:t>
            </w:r>
          </w:p>
        </w:tc>
        <w:tc>
          <w:tcPr>
            <w:tcW w:w="717"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0,10</w:t>
            </w:r>
          </w:p>
        </w:tc>
        <w:tc>
          <w:tcPr>
            <w:tcW w:w="717"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0,13</w:t>
            </w:r>
          </w:p>
        </w:tc>
        <w:tc>
          <w:tcPr>
            <w:tcW w:w="717"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0,13</w:t>
            </w:r>
          </w:p>
        </w:tc>
        <w:tc>
          <w:tcPr>
            <w:tcW w:w="747" w:type="dxa"/>
            <w:gridSpan w:val="2"/>
            <w:tcBorders>
              <w:top w:val="nil"/>
              <w:left w:val="single" w:sz="4" w:space="0" w:color="000000"/>
              <w:bottom w:val="single" w:sz="4" w:space="0" w:color="000000"/>
              <w:right w:val="single" w:sz="4" w:space="0" w:color="000000"/>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0,17</w:t>
            </w:r>
          </w:p>
        </w:tc>
      </w:tr>
      <w:tr w:rsidR="00ED7F17" w:rsidTr="00ED7F17">
        <w:trPr>
          <w:trHeight w:val="315"/>
        </w:trPr>
        <w:tc>
          <w:tcPr>
            <w:tcW w:w="2441"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 xml:space="preserve">г. Знаменск </w:t>
            </w:r>
          </w:p>
        </w:tc>
        <w:tc>
          <w:tcPr>
            <w:tcW w:w="89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w:t>
            </w:r>
          </w:p>
        </w:tc>
        <w:tc>
          <w:tcPr>
            <w:tcW w:w="71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1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1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1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78"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0,10</w:t>
            </w:r>
          </w:p>
        </w:tc>
        <w:tc>
          <w:tcPr>
            <w:tcW w:w="717"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0,00</w:t>
            </w:r>
          </w:p>
        </w:tc>
        <w:tc>
          <w:tcPr>
            <w:tcW w:w="717"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0,00</w:t>
            </w:r>
          </w:p>
        </w:tc>
        <w:tc>
          <w:tcPr>
            <w:tcW w:w="717"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0,00</w:t>
            </w:r>
          </w:p>
        </w:tc>
        <w:tc>
          <w:tcPr>
            <w:tcW w:w="747" w:type="dxa"/>
            <w:gridSpan w:val="2"/>
            <w:tcBorders>
              <w:top w:val="nil"/>
              <w:left w:val="single" w:sz="4" w:space="0" w:color="000000"/>
              <w:bottom w:val="single" w:sz="4" w:space="0" w:color="000000"/>
              <w:right w:val="single" w:sz="4" w:space="0" w:color="000000"/>
            </w:tcBorders>
            <w:vAlign w:val="bottom"/>
            <w:hideMark/>
          </w:tcPr>
          <w:p w:rsidR="00ED7F17" w:rsidRDefault="00ED7F17">
            <w:pPr>
              <w:spacing w:line="276" w:lineRule="auto"/>
              <w:jc w:val="center"/>
              <w:rPr>
                <w:rFonts w:ascii="Arial" w:eastAsia="Arial" w:hAnsi="Arial" w:cs="Arial"/>
                <w:sz w:val="22"/>
                <w:szCs w:val="22"/>
              </w:rPr>
            </w:pPr>
            <w:r>
              <w:rPr>
                <w:color w:val="000000"/>
                <w:sz w:val="20"/>
                <w:szCs w:val="20"/>
              </w:rPr>
              <w:t>0,00</w:t>
            </w:r>
          </w:p>
        </w:tc>
      </w:tr>
      <w:tr w:rsidR="00ED7F17" w:rsidTr="00ED7F17">
        <w:trPr>
          <w:trHeight w:val="405"/>
        </w:trPr>
        <w:tc>
          <w:tcPr>
            <w:tcW w:w="2441"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bCs/>
                <w:color w:val="000000"/>
                <w:sz w:val="20"/>
                <w:szCs w:val="20"/>
                <w:lang w:eastAsia="ru-RU"/>
              </w:rPr>
              <w:t xml:space="preserve"> г. Астрахань</w:t>
            </w:r>
          </w:p>
        </w:tc>
        <w:tc>
          <w:tcPr>
            <w:tcW w:w="89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2</w:t>
            </w:r>
          </w:p>
        </w:tc>
        <w:tc>
          <w:tcPr>
            <w:tcW w:w="71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9</w:t>
            </w:r>
          </w:p>
        </w:tc>
        <w:tc>
          <w:tcPr>
            <w:tcW w:w="71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18</w:t>
            </w:r>
          </w:p>
        </w:tc>
        <w:tc>
          <w:tcPr>
            <w:tcW w:w="71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33</w:t>
            </w:r>
          </w:p>
        </w:tc>
        <w:tc>
          <w:tcPr>
            <w:tcW w:w="71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12</w:t>
            </w:r>
          </w:p>
        </w:tc>
        <w:tc>
          <w:tcPr>
            <w:tcW w:w="778"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bCs/>
                <w:color w:val="000000"/>
                <w:sz w:val="20"/>
                <w:szCs w:val="20"/>
              </w:rPr>
              <w:t>0,01</w:t>
            </w:r>
          </w:p>
        </w:tc>
        <w:tc>
          <w:tcPr>
            <w:tcW w:w="717"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bCs/>
                <w:color w:val="000000"/>
                <w:sz w:val="20"/>
                <w:szCs w:val="20"/>
              </w:rPr>
              <w:t>0,02</w:t>
            </w:r>
          </w:p>
        </w:tc>
        <w:tc>
          <w:tcPr>
            <w:tcW w:w="717"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bCs/>
                <w:color w:val="000000"/>
                <w:sz w:val="20"/>
                <w:szCs w:val="20"/>
              </w:rPr>
              <w:t>0,04</w:t>
            </w:r>
          </w:p>
        </w:tc>
        <w:tc>
          <w:tcPr>
            <w:tcW w:w="717"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bCs/>
                <w:color w:val="000000"/>
                <w:sz w:val="20"/>
                <w:szCs w:val="20"/>
              </w:rPr>
              <w:t>0,08</w:t>
            </w:r>
          </w:p>
        </w:tc>
        <w:tc>
          <w:tcPr>
            <w:tcW w:w="747" w:type="dxa"/>
            <w:gridSpan w:val="2"/>
            <w:tcBorders>
              <w:top w:val="nil"/>
              <w:left w:val="single" w:sz="4" w:space="0" w:color="000000"/>
              <w:bottom w:val="single" w:sz="4" w:space="0" w:color="000000"/>
              <w:right w:val="single" w:sz="4" w:space="0" w:color="000000"/>
            </w:tcBorders>
            <w:vAlign w:val="bottom"/>
            <w:hideMark/>
          </w:tcPr>
          <w:p w:rsidR="00ED7F17" w:rsidRDefault="00ED7F17">
            <w:pPr>
              <w:spacing w:line="276" w:lineRule="auto"/>
              <w:jc w:val="center"/>
              <w:rPr>
                <w:rFonts w:ascii="Arial" w:eastAsia="Arial" w:hAnsi="Arial" w:cs="Arial"/>
                <w:sz w:val="22"/>
                <w:szCs w:val="22"/>
              </w:rPr>
            </w:pPr>
            <w:r>
              <w:rPr>
                <w:bCs/>
                <w:color w:val="000000"/>
                <w:sz w:val="20"/>
                <w:szCs w:val="20"/>
              </w:rPr>
              <w:t>0,03</w:t>
            </w:r>
          </w:p>
        </w:tc>
      </w:tr>
      <w:tr w:rsidR="00ED7F17" w:rsidTr="00ED7F17">
        <w:trPr>
          <w:trHeight w:val="315"/>
        </w:trPr>
        <w:tc>
          <w:tcPr>
            <w:tcW w:w="2441"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b/>
                <w:bCs/>
                <w:color w:val="000000"/>
                <w:sz w:val="20"/>
                <w:szCs w:val="20"/>
                <w:lang w:eastAsia="ru-RU"/>
              </w:rPr>
              <w:t>Астраханская область</w:t>
            </w:r>
          </w:p>
        </w:tc>
        <w:tc>
          <w:tcPr>
            <w:tcW w:w="89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61</w:t>
            </w:r>
          </w:p>
        </w:tc>
        <w:tc>
          <w:tcPr>
            <w:tcW w:w="718"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47</w:t>
            </w:r>
          </w:p>
        </w:tc>
        <w:tc>
          <w:tcPr>
            <w:tcW w:w="71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38</w:t>
            </w:r>
          </w:p>
        </w:tc>
        <w:tc>
          <w:tcPr>
            <w:tcW w:w="71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70</w:t>
            </w:r>
          </w:p>
        </w:tc>
        <w:tc>
          <w:tcPr>
            <w:tcW w:w="71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73</w:t>
            </w:r>
          </w:p>
        </w:tc>
        <w:tc>
          <w:tcPr>
            <w:tcW w:w="778"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b/>
                <w:bCs/>
                <w:color w:val="000000"/>
                <w:sz w:val="20"/>
                <w:szCs w:val="20"/>
              </w:rPr>
              <w:t>0,10</w:t>
            </w:r>
          </w:p>
        </w:tc>
        <w:tc>
          <w:tcPr>
            <w:tcW w:w="717"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b/>
                <w:bCs/>
                <w:color w:val="000000"/>
                <w:sz w:val="20"/>
                <w:szCs w:val="20"/>
              </w:rPr>
              <w:t>0,10</w:t>
            </w:r>
          </w:p>
        </w:tc>
        <w:tc>
          <w:tcPr>
            <w:tcW w:w="717"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b/>
                <w:bCs/>
                <w:color w:val="000000"/>
                <w:sz w:val="20"/>
                <w:szCs w:val="20"/>
              </w:rPr>
              <w:t>0,05</w:t>
            </w:r>
          </w:p>
        </w:tc>
        <w:tc>
          <w:tcPr>
            <w:tcW w:w="717" w:type="dxa"/>
            <w:tcBorders>
              <w:top w:val="nil"/>
              <w:left w:val="single" w:sz="4" w:space="0" w:color="000000"/>
              <w:bottom w:val="single" w:sz="4" w:space="0" w:color="000000"/>
              <w:right w:val="nil"/>
            </w:tcBorders>
            <w:vAlign w:val="bottom"/>
            <w:hideMark/>
          </w:tcPr>
          <w:p w:rsidR="00ED7F17" w:rsidRDefault="00ED7F17">
            <w:pPr>
              <w:spacing w:line="276" w:lineRule="auto"/>
              <w:jc w:val="center"/>
              <w:rPr>
                <w:rFonts w:ascii="Arial" w:eastAsia="Arial" w:hAnsi="Arial" w:cs="Arial"/>
                <w:sz w:val="22"/>
                <w:szCs w:val="22"/>
              </w:rPr>
            </w:pPr>
            <w:r>
              <w:rPr>
                <w:b/>
                <w:bCs/>
                <w:color w:val="000000"/>
                <w:sz w:val="20"/>
                <w:szCs w:val="20"/>
              </w:rPr>
              <w:t>0,09</w:t>
            </w:r>
          </w:p>
        </w:tc>
        <w:tc>
          <w:tcPr>
            <w:tcW w:w="747" w:type="dxa"/>
            <w:gridSpan w:val="2"/>
            <w:tcBorders>
              <w:top w:val="nil"/>
              <w:left w:val="single" w:sz="4" w:space="0" w:color="000000"/>
              <w:bottom w:val="single" w:sz="4" w:space="0" w:color="000000"/>
              <w:right w:val="single" w:sz="4" w:space="0" w:color="000000"/>
            </w:tcBorders>
            <w:vAlign w:val="bottom"/>
            <w:hideMark/>
          </w:tcPr>
          <w:p w:rsidR="00ED7F17" w:rsidRDefault="00ED7F17">
            <w:pPr>
              <w:spacing w:line="276" w:lineRule="auto"/>
              <w:jc w:val="center"/>
              <w:rPr>
                <w:rFonts w:ascii="Arial" w:eastAsia="Arial" w:hAnsi="Arial" w:cs="Arial"/>
                <w:sz w:val="22"/>
                <w:szCs w:val="22"/>
              </w:rPr>
            </w:pPr>
            <w:r>
              <w:rPr>
                <w:b/>
                <w:bCs/>
                <w:color w:val="000000"/>
                <w:sz w:val="20"/>
                <w:szCs w:val="20"/>
              </w:rPr>
              <w:t>0,09</w:t>
            </w:r>
          </w:p>
        </w:tc>
      </w:tr>
    </w:tbl>
    <w:p w:rsidR="00ED7F17" w:rsidRDefault="00ED7F17" w:rsidP="00ED7F17">
      <w:pPr>
        <w:pStyle w:val="2f"/>
        <w:spacing w:line="276" w:lineRule="auto"/>
        <w:ind w:left="0" w:firstLine="709"/>
        <w:jc w:val="both"/>
        <w:rPr>
          <w:rFonts w:ascii="Times New Roman" w:hAnsi="Times New Roman"/>
        </w:rPr>
      </w:pPr>
    </w:p>
    <w:p w:rsidR="00ED7F17" w:rsidRDefault="00ED7F17" w:rsidP="00ED7F17">
      <w:pPr>
        <w:pStyle w:val="2f"/>
        <w:spacing w:line="276" w:lineRule="auto"/>
        <w:ind w:left="0" w:firstLine="709"/>
        <w:jc w:val="both"/>
      </w:pPr>
      <w:r>
        <w:rPr>
          <w:rFonts w:ascii="Times New Roman" w:hAnsi="Times New Roman"/>
          <w:sz w:val="24"/>
          <w:szCs w:val="24"/>
        </w:rPr>
        <w:t>Общая и первичная заболеваемость острыми нарушениями мозгового кровообращения: внутримозговое кровоизлияние (</w:t>
      </w:r>
      <w:r>
        <w:rPr>
          <w:rFonts w:ascii="Times New Roman" w:hAnsi="Times New Roman"/>
          <w:sz w:val="24"/>
          <w:szCs w:val="24"/>
          <w:lang w:val="en-US"/>
        </w:rPr>
        <w:t>I</w:t>
      </w:r>
      <w:r>
        <w:rPr>
          <w:rFonts w:ascii="Times New Roman" w:hAnsi="Times New Roman"/>
          <w:sz w:val="24"/>
          <w:szCs w:val="24"/>
        </w:rPr>
        <w:t>61) в 2018 году составила 0,6 на 1000 населения, что на 14,3% ниже уровня 2014 года (0,7 на 1000 населения). Показатель заболеваемости внутримозговым кровоизлиянием взрослого населения Астраханской области в 2018 году составил 0,8 на 1000 взрослого населения, что на 30,2% ниже уровня 2017 года (1,1) и на 12,4% ниже уровня 2014 года (0,9).</w:t>
      </w:r>
    </w:p>
    <w:p w:rsidR="00ED7F17" w:rsidRDefault="00ED7F17" w:rsidP="00ED7F17">
      <w:pPr>
        <w:pStyle w:val="2f"/>
        <w:spacing w:line="276" w:lineRule="auto"/>
        <w:ind w:left="0" w:firstLine="709"/>
        <w:jc w:val="both"/>
      </w:pPr>
      <w:r>
        <w:rPr>
          <w:rFonts w:ascii="Times New Roman" w:hAnsi="Times New Roman"/>
          <w:sz w:val="24"/>
          <w:szCs w:val="24"/>
        </w:rPr>
        <w:t xml:space="preserve">Среди районов самый высокий показатель в Володарском районе – 1,1 на 1000 взрослого населения, самый низкий – в Лиманском районе – 0,1. Рост показателя отмечается в 3 районах Астраханской области – Володарском, Енотаевском, Наримановском. Максимальной рост наблюдается в Наримановском районе – 106,2% (с 0,6 до 1,2 на 1000 взрослого населения). </w:t>
      </w:r>
    </w:p>
    <w:p w:rsidR="00ED7F17" w:rsidRDefault="00ED7F17" w:rsidP="00ED7F17">
      <w:pPr>
        <w:pStyle w:val="2f"/>
        <w:spacing w:line="276" w:lineRule="auto"/>
        <w:ind w:left="0" w:firstLine="709"/>
        <w:jc w:val="both"/>
        <w:rPr>
          <w:rFonts w:ascii="Times New Roman" w:hAnsi="Times New Roman"/>
          <w:sz w:val="24"/>
          <w:szCs w:val="24"/>
        </w:rPr>
      </w:pPr>
    </w:p>
    <w:tbl>
      <w:tblPr>
        <w:tblW w:w="0" w:type="auto"/>
        <w:tblInd w:w="-30" w:type="dxa"/>
        <w:tblLayout w:type="fixed"/>
        <w:tblLook w:val="04A0" w:firstRow="1" w:lastRow="0" w:firstColumn="1" w:lastColumn="0" w:noHBand="0" w:noVBand="1"/>
      </w:tblPr>
      <w:tblGrid>
        <w:gridCol w:w="2303"/>
        <w:gridCol w:w="876"/>
        <w:gridCol w:w="937"/>
        <w:gridCol w:w="717"/>
        <w:gridCol w:w="717"/>
        <w:gridCol w:w="721"/>
        <w:gridCol w:w="717"/>
        <w:gridCol w:w="717"/>
        <w:gridCol w:w="717"/>
        <w:gridCol w:w="717"/>
        <w:gridCol w:w="715"/>
        <w:gridCol w:w="30"/>
      </w:tblGrid>
      <w:tr w:rsidR="00ED7F17" w:rsidTr="00ED7F17">
        <w:trPr>
          <w:gridAfter w:val="1"/>
          <w:wAfter w:w="30" w:type="dxa"/>
          <w:trHeight w:val="450"/>
        </w:trPr>
        <w:tc>
          <w:tcPr>
            <w:tcW w:w="2303" w:type="dxa"/>
            <w:vMerge w:val="restart"/>
            <w:tcBorders>
              <w:top w:val="single" w:sz="4" w:space="0" w:color="000000"/>
              <w:left w:val="single" w:sz="8"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Наименование территории</w:t>
            </w:r>
          </w:p>
        </w:tc>
        <w:tc>
          <w:tcPr>
            <w:tcW w:w="7551" w:type="dxa"/>
            <w:gridSpan w:val="10"/>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Внутримозговое и другое внутричерепное кровоизлияние</w:t>
            </w:r>
          </w:p>
        </w:tc>
      </w:tr>
      <w:tr w:rsidR="00ED7F17" w:rsidTr="00ED7F17">
        <w:trPr>
          <w:trHeight w:val="369"/>
        </w:trPr>
        <w:tc>
          <w:tcPr>
            <w:tcW w:w="2303" w:type="dxa"/>
            <w:vMerge/>
            <w:tcBorders>
              <w:top w:val="single" w:sz="4" w:space="0" w:color="000000"/>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7581" w:type="dxa"/>
            <w:gridSpan w:val="11"/>
            <w:tcBorders>
              <w:top w:val="single" w:sz="4" w:space="0" w:color="000000"/>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Заболеваемость (взрослые - 18 лет и старше)</w:t>
            </w:r>
          </w:p>
        </w:tc>
      </w:tr>
      <w:tr w:rsidR="00ED7F17" w:rsidTr="00ED7F17">
        <w:trPr>
          <w:trHeight w:val="360"/>
        </w:trPr>
        <w:tc>
          <w:tcPr>
            <w:tcW w:w="2303" w:type="dxa"/>
            <w:vMerge/>
            <w:tcBorders>
              <w:top w:val="single" w:sz="4" w:space="0" w:color="000000"/>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3968" w:type="dxa"/>
            <w:gridSpan w:val="5"/>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Абсолютное количество</w:t>
            </w:r>
          </w:p>
        </w:tc>
        <w:tc>
          <w:tcPr>
            <w:tcW w:w="3613" w:type="dxa"/>
            <w:gridSpan w:val="6"/>
            <w:tcBorders>
              <w:top w:val="single" w:sz="4" w:space="0" w:color="000000"/>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на 1000 взрослого населения</w:t>
            </w:r>
          </w:p>
        </w:tc>
      </w:tr>
      <w:tr w:rsidR="00ED7F17" w:rsidTr="00ED7F17">
        <w:trPr>
          <w:trHeight w:val="525"/>
        </w:trPr>
        <w:tc>
          <w:tcPr>
            <w:tcW w:w="2303" w:type="dxa"/>
            <w:vMerge/>
            <w:tcBorders>
              <w:top w:val="single" w:sz="4" w:space="0" w:color="000000"/>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876"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2014</w:t>
            </w:r>
          </w:p>
        </w:tc>
        <w:tc>
          <w:tcPr>
            <w:tcW w:w="93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2015</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2016</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2017</w:t>
            </w:r>
          </w:p>
        </w:tc>
        <w:tc>
          <w:tcPr>
            <w:tcW w:w="72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2018</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2014</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2015</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2016</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2017</w:t>
            </w:r>
          </w:p>
        </w:tc>
        <w:tc>
          <w:tcPr>
            <w:tcW w:w="745"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2018</w:t>
            </w:r>
          </w:p>
        </w:tc>
      </w:tr>
      <w:tr w:rsidR="00ED7F17" w:rsidTr="00ED7F17">
        <w:trPr>
          <w:trHeight w:val="315"/>
        </w:trPr>
        <w:tc>
          <w:tcPr>
            <w:tcW w:w="2303"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Ахтубинский район</w:t>
            </w:r>
          </w:p>
        </w:tc>
        <w:tc>
          <w:tcPr>
            <w:tcW w:w="876"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58</w:t>
            </w:r>
          </w:p>
        </w:tc>
        <w:tc>
          <w:tcPr>
            <w:tcW w:w="93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61</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71</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52</w:t>
            </w:r>
          </w:p>
        </w:tc>
        <w:tc>
          <w:tcPr>
            <w:tcW w:w="72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17</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1,2</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1,3</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1,5</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1,1</w:t>
            </w:r>
          </w:p>
        </w:tc>
        <w:tc>
          <w:tcPr>
            <w:tcW w:w="745"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0,4</w:t>
            </w:r>
          </w:p>
        </w:tc>
      </w:tr>
      <w:tr w:rsidR="00ED7F17" w:rsidTr="00ED7F17">
        <w:trPr>
          <w:trHeight w:val="315"/>
        </w:trPr>
        <w:tc>
          <w:tcPr>
            <w:tcW w:w="2303"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Володарский район</w:t>
            </w:r>
          </w:p>
        </w:tc>
        <w:tc>
          <w:tcPr>
            <w:tcW w:w="876"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29</w:t>
            </w:r>
          </w:p>
        </w:tc>
        <w:tc>
          <w:tcPr>
            <w:tcW w:w="93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47</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41</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34</w:t>
            </w:r>
          </w:p>
        </w:tc>
        <w:tc>
          <w:tcPr>
            <w:tcW w:w="72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38</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0,8</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1,3</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1,2</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1,0</w:t>
            </w:r>
          </w:p>
        </w:tc>
        <w:tc>
          <w:tcPr>
            <w:tcW w:w="745"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1,1</w:t>
            </w:r>
          </w:p>
        </w:tc>
      </w:tr>
      <w:tr w:rsidR="00ED7F17" w:rsidTr="00ED7F17">
        <w:trPr>
          <w:trHeight w:val="315"/>
        </w:trPr>
        <w:tc>
          <w:tcPr>
            <w:tcW w:w="2303"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Енотаевский район</w:t>
            </w:r>
          </w:p>
        </w:tc>
        <w:tc>
          <w:tcPr>
            <w:tcW w:w="876"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10</w:t>
            </w:r>
          </w:p>
        </w:tc>
        <w:tc>
          <w:tcPr>
            <w:tcW w:w="93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35</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20</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20</w:t>
            </w:r>
          </w:p>
        </w:tc>
        <w:tc>
          <w:tcPr>
            <w:tcW w:w="72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14</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0,5</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1,8</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1,0</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1,0</w:t>
            </w:r>
          </w:p>
        </w:tc>
        <w:tc>
          <w:tcPr>
            <w:tcW w:w="745"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0,7</w:t>
            </w:r>
          </w:p>
        </w:tc>
      </w:tr>
      <w:tr w:rsidR="00ED7F17" w:rsidTr="00ED7F17">
        <w:trPr>
          <w:trHeight w:val="345"/>
        </w:trPr>
        <w:tc>
          <w:tcPr>
            <w:tcW w:w="2303"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Икрянинский район</w:t>
            </w:r>
          </w:p>
        </w:tc>
        <w:tc>
          <w:tcPr>
            <w:tcW w:w="876"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35</w:t>
            </w:r>
          </w:p>
        </w:tc>
        <w:tc>
          <w:tcPr>
            <w:tcW w:w="93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24</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52</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29</w:t>
            </w:r>
          </w:p>
        </w:tc>
        <w:tc>
          <w:tcPr>
            <w:tcW w:w="72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21</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0,9</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0,6</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1,4</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0,8</w:t>
            </w:r>
          </w:p>
        </w:tc>
        <w:tc>
          <w:tcPr>
            <w:tcW w:w="745"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0,6</w:t>
            </w:r>
          </w:p>
        </w:tc>
      </w:tr>
      <w:tr w:rsidR="00ED7F17" w:rsidTr="00ED7F17">
        <w:trPr>
          <w:trHeight w:val="315"/>
        </w:trPr>
        <w:tc>
          <w:tcPr>
            <w:tcW w:w="2303"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Камызякский район</w:t>
            </w:r>
          </w:p>
        </w:tc>
        <w:tc>
          <w:tcPr>
            <w:tcW w:w="876"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32</w:t>
            </w:r>
          </w:p>
        </w:tc>
        <w:tc>
          <w:tcPr>
            <w:tcW w:w="93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74</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56</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23</w:t>
            </w:r>
          </w:p>
        </w:tc>
        <w:tc>
          <w:tcPr>
            <w:tcW w:w="72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27</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0,8</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2,0</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1,5</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0,6</w:t>
            </w:r>
          </w:p>
        </w:tc>
        <w:tc>
          <w:tcPr>
            <w:tcW w:w="745"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0,7</w:t>
            </w:r>
          </w:p>
        </w:tc>
      </w:tr>
      <w:tr w:rsidR="00ED7F17" w:rsidTr="00ED7F17">
        <w:trPr>
          <w:trHeight w:val="345"/>
        </w:trPr>
        <w:tc>
          <w:tcPr>
            <w:tcW w:w="2303"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Красноярский район</w:t>
            </w:r>
          </w:p>
        </w:tc>
        <w:tc>
          <w:tcPr>
            <w:tcW w:w="876"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20</w:t>
            </w:r>
          </w:p>
        </w:tc>
        <w:tc>
          <w:tcPr>
            <w:tcW w:w="93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38</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29</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18</w:t>
            </w:r>
          </w:p>
        </w:tc>
        <w:tc>
          <w:tcPr>
            <w:tcW w:w="72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13</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0,7</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1,4</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1,1</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0,7</w:t>
            </w:r>
          </w:p>
        </w:tc>
        <w:tc>
          <w:tcPr>
            <w:tcW w:w="745"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0,5</w:t>
            </w:r>
          </w:p>
        </w:tc>
      </w:tr>
      <w:tr w:rsidR="00ED7F17" w:rsidTr="00ED7F17">
        <w:trPr>
          <w:trHeight w:val="345"/>
        </w:trPr>
        <w:tc>
          <w:tcPr>
            <w:tcW w:w="2303"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Лиманский район</w:t>
            </w:r>
          </w:p>
        </w:tc>
        <w:tc>
          <w:tcPr>
            <w:tcW w:w="876"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13</w:t>
            </w:r>
          </w:p>
        </w:tc>
        <w:tc>
          <w:tcPr>
            <w:tcW w:w="93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25</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16</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26</w:t>
            </w:r>
          </w:p>
        </w:tc>
        <w:tc>
          <w:tcPr>
            <w:tcW w:w="72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0,5</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1,1</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0,7</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1,1</w:t>
            </w:r>
          </w:p>
        </w:tc>
        <w:tc>
          <w:tcPr>
            <w:tcW w:w="745"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0,1</w:t>
            </w:r>
          </w:p>
        </w:tc>
      </w:tr>
      <w:tr w:rsidR="00ED7F17" w:rsidTr="00ED7F17">
        <w:trPr>
          <w:trHeight w:val="330"/>
        </w:trPr>
        <w:tc>
          <w:tcPr>
            <w:tcW w:w="2303"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Наримановский район</w:t>
            </w:r>
          </w:p>
        </w:tc>
        <w:tc>
          <w:tcPr>
            <w:tcW w:w="876"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21</w:t>
            </w:r>
          </w:p>
        </w:tc>
        <w:tc>
          <w:tcPr>
            <w:tcW w:w="93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56</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40</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51</w:t>
            </w:r>
          </w:p>
        </w:tc>
        <w:tc>
          <w:tcPr>
            <w:tcW w:w="72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50</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0,6</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1,5</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1,1</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1,4</w:t>
            </w:r>
          </w:p>
        </w:tc>
        <w:tc>
          <w:tcPr>
            <w:tcW w:w="745"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1,2</w:t>
            </w:r>
          </w:p>
        </w:tc>
      </w:tr>
      <w:tr w:rsidR="00ED7F17" w:rsidTr="00ED7F17">
        <w:trPr>
          <w:trHeight w:val="315"/>
        </w:trPr>
        <w:tc>
          <w:tcPr>
            <w:tcW w:w="2303"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Приволжский район</w:t>
            </w:r>
          </w:p>
        </w:tc>
        <w:tc>
          <w:tcPr>
            <w:tcW w:w="876"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42</w:t>
            </w:r>
          </w:p>
        </w:tc>
        <w:tc>
          <w:tcPr>
            <w:tcW w:w="93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47</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43</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48</w:t>
            </w:r>
          </w:p>
        </w:tc>
        <w:tc>
          <w:tcPr>
            <w:tcW w:w="72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27</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1,2</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1,3</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1,2</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1,3</w:t>
            </w:r>
          </w:p>
        </w:tc>
        <w:tc>
          <w:tcPr>
            <w:tcW w:w="745"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0,6</w:t>
            </w:r>
          </w:p>
        </w:tc>
      </w:tr>
      <w:tr w:rsidR="00ED7F17" w:rsidTr="00ED7F17">
        <w:trPr>
          <w:trHeight w:val="315"/>
        </w:trPr>
        <w:tc>
          <w:tcPr>
            <w:tcW w:w="2303"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Харабалинский район</w:t>
            </w:r>
          </w:p>
        </w:tc>
        <w:tc>
          <w:tcPr>
            <w:tcW w:w="876"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31</w:t>
            </w:r>
          </w:p>
        </w:tc>
        <w:tc>
          <w:tcPr>
            <w:tcW w:w="93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25</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37</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28</w:t>
            </w:r>
          </w:p>
        </w:tc>
        <w:tc>
          <w:tcPr>
            <w:tcW w:w="72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21</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1,0</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0,8</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1,2</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0,9</w:t>
            </w:r>
          </w:p>
        </w:tc>
        <w:tc>
          <w:tcPr>
            <w:tcW w:w="745"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0,7</w:t>
            </w:r>
          </w:p>
        </w:tc>
      </w:tr>
      <w:tr w:rsidR="00ED7F17" w:rsidTr="00ED7F17">
        <w:trPr>
          <w:trHeight w:val="315"/>
        </w:trPr>
        <w:tc>
          <w:tcPr>
            <w:tcW w:w="2303"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Черноярский район</w:t>
            </w:r>
          </w:p>
        </w:tc>
        <w:tc>
          <w:tcPr>
            <w:tcW w:w="876"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9</w:t>
            </w:r>
          </w:p>
        </w:tc>
        <w:tc>
          <w:tcPr>
            <w:tcW w:w="93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21</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15</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w:t>
            </w:r>
          </w:p>
        </w:tc>
        <w:tc>
          <w:tcPr>
            <w:tcW w:w="72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0,6</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1,3</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1,0</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0,3</w:t>
            </w:r>
          </w:p>
        </w:tc>
        <w:tc>
          <w:tcPr>
            <w:tcW w:w="745"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0,2</w:t>
            </w:r>
          </w:p>
        </w:tc>
      </w:tr>
      <w:tr w:rsidR="00ED7F17" w:rsidTr="00ED7F17">
        <w:trPr>
          <w:trHeight w:val="315"/>
        </w:trPr>
        <w:tc>
          <w:tcPr>
            <w:tcW w:w="2303"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 xml:space="preserve">г. Знаменск </w:t>
            </w:r>
          </w:p>
        </w:tc>
        <w:tc>
          <w:tcPr>
            <w:tcW w:w="876"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22</w:t>
            </w:r>
          </w:p>
        </w:tc>
        <w:tc>
          <w:tcPr>
            <w:tcW w:w="93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14</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20</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14</w:t>
            </w:r>
          </w:p>
        </w:tc>
        <w:tc>
          <w:tcPr>
            <w:tcW w:w="72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17</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0,8</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0,5</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0,8</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0,5</w:t>
            </w:r>
          </w:p>
        </w:tc>
        <w:tc>
          <w:tcPr>
            <w:tcW w:w="745"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0,7</w:t>
            </w:r>
          </w:p>
        </w:tc>
      </w:tr>
      <w:tr w:rsidR="00ED7F17" w:rsidTr="00ED7F17">
        <w:trPr>
          <w:trHeight w:val="405"/>
        </w:trPr>
        <w:tc>
          <w:tcPr>
            <w:tcW w:w="2303"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bCs/>
                <w:color w:val="000000"/>
                <w:sz w:val="20"/>
                <w:szCs w:val="20"/>
                <w:lang w:eastAsia="ru-RU"/>
              </w:rPr>
              <w:t xml:space="preserve"> г. Астрахань</w:t>
            </w:r>
          </w:p>
        </w:tc>
        <w:tc>
          <w:tcPr>
            <w:tcW w:w="876"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380</w:t>
            </w:r>
          </w:p>
        </w:tc>
        <w:tc>
          <w:tcPr>
            <w:tcW w:w="93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320</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401</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553</w:t>
            </w:r>
          </w:p>
        </w:tc>
        <w:tc>
          <w:tcPr>
            <w:tcW w:w="72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375</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0,9</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0,7</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0,9</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1,3</w:t>
            </w:r>
          </w:p>
        </w:tc>
        <w:tc>
          <w:tcPr>
            <w:tcW w:w="745"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0,9</w:t>
            </w:r>
          </w:p>
        </w:tc>
      </w:tr>
      <w:tr w:rsidR="00ED7F17" w:rsidTr="00ED7F17">
        <w:trPr>
          <w:trHeight w:val="315"/>
        </w:trPr>
        <w:tc>
          <w:tcPr>
            <w:tcW w:w="2303"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b/>
                <w:bCs/>
                <w:color w:val="000000"/>
                <w:sz w:val="20"/>
                <w:szCs w:val="20"/>
                <w:lang w:eastAsia="ru-RU"/>
              </w:rPr>
              <w:t>Астраханская область</w:t>
            </w:r>
          </w:p>
        </w:tc>
        <w:tc>
          <w:tcPr>
            <w:tcW w:w="876"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702</w:t>
            </w:r>
          </w:p>
        </w:tc>
        <w:tc>
          <w:tcPr>
            <w:tcW w:w="93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787</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841</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900</w:t>
            </w:r>
          </w:p>
        </w:tc>
        <w:tc>
          <w:tcPr>
            <w:tcW w:w="72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625</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0,9</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1,0</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1,0</w:t>
            </w:r>
          </w:p>
        </w:tc>
        <w:tc>
          <w:tcPr>
            <w:tcW w:w="71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1,1</w:t>
            </w:r>
          </w:p>
        </w:tc>
        <w:tc>
          <w:tcPr>
            <w:tcW w:w="745"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0,8</w:t>
            </w:r>
          </w:p>
        </w:tc>
      </w:tr>
    </w:tbl>
    <w:p w:rsidR="00ED7F17" w:rsidRDefault="00ED7F17" w:rsidP="00ED7F17">
      <w:pPr>
        <w:pStyle w:val="2f"/>
        <w:spacing w:line="276" w:lineRule="auto"/>
        <w:ind w:left="0" w:firstLine="709"/>
        <w:jc w:val="both"/>
        <w:rPr>
          <w:rFonts w:ascii="Times New Roman" w:hAnsi="Times New Roman"/>
          <w:sz w:val="24"/>
          <w:szCs w:val="24"/>
        </w:rPr>
      </w:pPr>
    </w:p>
    <w:p w:rsidR="00ED7F17" w:rsidRDefault="00ED7F17" w:rsidP="00ED7F17">
      <w:pPr>
        <w:pStyle w:val="2f"/>
        <w:spacing w:line="276" w:lineRule="auto"/>
        <w:ind w:left="0" w:firstLine="709"/>
        <w:jc w:val="both"/>
      </w:pPr>
      <w:r>
        <w:rPr>
          <w:rFonts w:ascii="Times New Roman" w:hAnsi="Times New Roman"/>
          <w:sz w:val="24"/>
          <w:szCs w:val="24"/>
        </w:rPr>
        <w:t>Общая и первичная заболеваемость инфарктом мозга (</w:t>
      </w:r>
      <w:r>
        <w:rPr>
          <w:rFonts w:ascii="Times New Roman" w:hAnsi="Times New Roman"/>
          <w:sz w:val="24"/>
          <w:szCs w:val="24"/>
          <w:lang w:val="en-US"/>
        </w:rPr>
        <w:t>I</w:t>
      </w:r>
      <w:r>
        <w:rPr>
          <w:rFonts w:ascii="Times New Roman" w:hAnsi="Times New Roman"/>
          <w:sz w:val="24"/>
          <w:szCs w:val="24"/>
        </w:rPr>
        <w:t>63) в 2018 году составила 3,0 на 1000 населения, что соответствует уровню 2014 года. Показатель заболеваемости инфарктом мозга взрослого населения Астраханской области в 2018 году составил 3,9 на 1000 взрослого населения, что 2% ниже уровня 2017 года, но на 2,8% выше уровня 2014 года.</w:t>
      </w:r>
    </w:p>
    <w:p w:rsidR="00ED7F17" w:rsidRDefault="00ED7F17" w:rsidP="00ED7F17">
      <w:pPr>
        <w:pStyle w:val="2f"/>
        <w:spacing w:line="276" w:lineRule="auto"/>
        <w:ind w:left="0" w:firstLine="709"/>
        <w:jc w:val="both"/>
      </w:pPr>
      <w:r>
        <w:rPr>
          <w:rFonts w:ascii="Times New Roman" w:hAnsi="Times New Roman"/>
          <w:sz w:val="24"/>
          <w:szCs w:val="24"/>
        </w:rPr>
        <w:t>Среди районов Астраханской области самый высокий показатель заболеваемости данной патологией наблюдается в Икрянинском районе, самый низкий – в ЗАТО Знаменск. Снижение показателя в сравнении с 2014 годом отмечается в Ахтубинском, Енотаевском, Красноярском, Лиманском, Харабалинском, Черноярском районах, ЗАТО Знаменск. Во всех остальных муниципальных образованиях наблюдается рост показателя. Максимальный рост отмечен в Наримановском районе – на 173,6% (1,8 до 4,9 на 1000 взрослого населения). Максимальное снижение показателя наблюдается в Енотаевском районе – на 56,2% (с 5,4 до 2,4 на 1000 взрослого населения).</w:t>
      </w:r>
    </w:p>
    <w:p w:rsidR="00ED7F17" w:rsidRDefault="00ED7F17" w:rsidP="00ED7F17">
      <w:pPr>
        <w:pStyle w:val="2f"/>
        <w:spacing w:line="276" w:lineRule="auto"/>
        <w:ind w:left="0" w:firstLine="709"/>
        <w:jc w:val="both"/>
        <w:rPr>
          <w:rFonts w:ascii="Times New Roman" w:hAnsi="Times New Roman"/>
          <w:sz w:val="24"/>
          <w:szCs w:val="24"/>
        </w:rPr>
      </w:pPr>
    </w:p>
    <w:tbl>
      <w:tblPr>
        <w:tblW w:w="0" w:type="auto"/>
        <w:tblInd w:w="-30" w:type="dxa"/>
        <w:tblLayout w:type="fixed"/>
        <w:tblLook w:val="04A0" w:firstRow="1" w:lastRow="0" w:firstColumn="1" w:lastColumn="0" w:noHBand="0" w:noVBand="1"/>
      </w:tblPr>
      <w:tblGrid>
        <w:gridCol w:w="2009"/>
        <w:gridCol w:w="877"/>
        <w:gridCol w:w="875"/>
        <w:gridCol w:w="875"/>
        <w:gridCol w:w="729"/>
        <w:gridCol w:w="731"/>
        <w:gridCol w:w="875"/>
        <w:gridCol w:w="729"/>
        <w:gridCol w:w="729"/>
        <w:gridCol w:w="731"/>
        <w:gridCol w:w="694"/>
        <w:gridCol w:w="30"/>
      </w:tblGrid>
      <w:tr w:rsidR="00ED7F17" w:rsidTr="00ED7F17">
        <w:trPr>
          <w:gridAfter w:val="1"/>
          <w:wAfter w:w="30" w:type="dxa"/>
          <w:trHeight w:val="450"/>
        </w:trPr>
        <w:tc>
          <w:tcPr>
            <w:tcW w:w="2009" w:type="dxa"/>
            <w:vMerge w:val="restart"/>
            <w:tcBorders>
              <w:top w:val="single" w:sz="4" w:space="0" w:color="000000"/>
              <w:left w:val="single" w:sz="8"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Наименование территории</w:t>
            </w:r>
          </w:p>
        </w:tc>
        <w:tc>
          <w:tcPr>
            <w:tcW w:w="7845" w:type="dxa"/>
            <w:gridSpan w:val="10"/>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Инфаркт мозга</w:t>
            </w:r>
          </w:p>
        </w:tc>
      </w:tr>
      <w:tr w:rsidR="00ED7F17" w:rsidTr="00ED7F17">
        <w:trPr>
          <w:trHeight w:val="411"/>
        </w:trPr>
        <w:tc>
          <w:tcPr>
            <w:tcW w:w="2009" w:type="dxa"/>
            <w:vMerge/>
            <w:tcBorders>
              <w:top w:val="single" w:sz="4" w:space="0" w:color="000000"/>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7875" w:type="dxa"/>
            <w:gridSpan w:val="11"/>
            <w:tcBorders>
              <w:top w:val="single" w:sz="4" w:space="0" w:color="000000"/>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Заболеваемость (взрослые - 18 лет и старше)</w:t>
            </w:r>
          </w:p>
        </w:tc>
      </w:tr>
      <w:tr w:rsidR="00ED7F17" w:rsidTr="00ED7F17">
        <w:trPr>
          <w:trHeight w:val="360"/>
        </w:trPr>
        <w:tc>
          <w:tcPr>
            <w:tcW w:w="2009" w:type="dxa"/>
            <w:vMerge/>
            <w:tcBorders>
              <w:top w:val="single" w:sz="4" w:space="0" w:color="000000"/>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4087" w:type="dxa"/>
            <w:gridSpan w:val="5"/>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Абсолютное количество</w:t>
            </w:r>
          </w:p>
        </w:tc>
        <w:tc>
          <w:tcPr>
            <w:tcW w:w="3788" w:type="dxa"/>
            <w:gridSpan w:val="6"/>
            <w:tcBorders>
              <w:top w:val="single" w:sz="4" w:space="0" w:color="000000"/>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на 1000 взрослого населения</w:t>
            </w:r>
          </w:p>
        </w:tc>
      </w:tr>
      <w:tr w:rsidR="00ED7F17" w:rsidTr="00ED7F17">
        <w:trPr>
          <w:trHeight w:val="525"/>
        </w:trPr>
        <w:tc>
          <w:tcPr>
            <w:tcW w:w="2009" w:type="dxa"/>
            <w:vMerge/>
            <w:tcBorders>
              <w:top w:val="single" w:sz="4" w:space="0" w:color="000000"/>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877"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2014</w:t>
            </w:r>
          </w:p>
        </w:tc>
        <w:tc>
          <w:tcPr>
            <w:tcW w:w="87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2015</w:t>
            </w:r>
          </w:p>
        </w:tc>
        <w:tc>
          <w:tcPr>
            <w:tcW w:w="87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2016</w:t>
            </w:r>
          </w:p>
        </w:tc>
        <w:tc>
          <w:tcPr>
            <w:tcW w:w="72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2017</w:t>
            </w:r>
          </w:p>
        </w:tc>
        <w:tc>
          <w:tcPr>
            <w:tcW w:w="73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2018</w:t>
            </w:r>
          </w:p>
        </w:tc>
        <w:tc>
          <w:tcPr>
            <w:tcW w:w="87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2014</w:t>
            </w:r>
          </w:p>
        </w:tc>
        <w:tc>
          <w:tcPr>
            <w:tcW w:w="72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2015</w:t>
            </w:r>
          </w:p>
        </w:tc>
        <w:tc>
          <w:tcPr>
            <w:tcW w:w="72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2016</w:t>
            </w:r>
          </w:p>
        </w:tc>
        <w:tc>
          <w:tcPr>
            <w:tcW w:w="73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2017</w:t>
            </w:r>
          </w:p>
        </w:tc>
        <w:tc>
          <w:tcPr>
            <w:tcW w:w="724"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2018</w:t>
            </w:r>
          </w:p>
        </w:tc>
      </w:tr>
      <w:tr w:rsidR="00ED7F17" w:rsidTr="00ED7F17">
        <w:trPr>
          <w:trHeight w:val="315"/>
        </w:trPr>
        <w:tc>
          <w:tcPr>
            <w:tcW w:w="2009"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Ахтубинский район</w:t>
            </w:r>
          </w:p>
        </w:tc>
        <w:tc>
          <w:tcPr>
            <w:tcW w:w="87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238</w:t>
            </w:r>
          </w:p>
        </w:tc>
        <w:tc>
          <w:tcPr>
            <w:tcW w:w="87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260</w:t>
            </w:r>
          </w:p>
        </w:tc>
        <w:tc>
          <w:tcPr>
            <w:tcW w:w="87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300</w:t>
            </w:r>
          </w:p>
        </w:tc>
        <w:tc>
          <w:tcPr>
            <w:tcW w:w="72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321</w:t>
            </w:r>
          </w:p>
        </w:tc>
        <w:tc>
          <w:tcPr>
            <w:tcW w:w="73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128</w:t>
            </w:r>
          </w:p>
        </w:tc>
        <w:tc>
          <w:tcPr>
            <w:tcW w:w="87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4,,9</w:t>
            </w:r>
          </w:p>
        </w:tc>
        <w:tc>
          <w:tcPr>
            <w:tcW w:w="72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5,30</w:t>
            </w:r>
          </w:p>
        </w:tc>
        <w:tc>
          <w:tcPr>
            <w:tcW w:w="72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6,3</w:t>
            </w:r>
          </w:p>
        </w:tc>
        <w:tc>
          <w:tcPr>
            <w:tcW w:w="73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6,8</w:t>
            </w:r>
          </w:p>
        </w:tc>
        <w:tc>
          <w:tcPr>
            <w:tcW w:w="724"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2,7</w:t>
            </w:r>
          </w:p>
        </w:tc>
      </w:tr>
      <w:tr w:rsidR="00ED7F17" w:rsidTr="00ED7F17">
        <w:trPr>
          <w:trHeight w:val="315"/>
        </w:trPr>
        <w:tc>
          <w:tcPr>
            <w:tcW w:w="2009"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Володарский район</w:t>
            </w:r>
          </w:p>
        </w:tc>
        <w:tc>
          <w:tcPr>
            <w:tcW w:w="87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133</w:t>
            </w:r>
          </w:p>
        </w:tc>
        <w:tc>
          <w:tcPr>
            <w:tcW w:w="87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116</w:t>
            </w:r>
          </w:p>
        </w:tc>
        <w:tc>
          <w:tcPr>
            <w:tcW w:w="87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136</w:t>
            </w:r>
          </w:p>
        </w:tc>
        <w:tc>
          <w:tcPr>
            <w:tcW w:w="72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101</w:t>
            </w:r>
          </w:p>
        </w:tc>
        <w:tc>
          <w:tcPr>
            <w:tcW w:w="73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135</w:t>
            </w:r>
          </w:p>
        </w:tc>
        <w:tc>
          <w:tcPr>
            <w:tcW w:w="87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3,7</w:t>
            </w:r>
          </w:p>
        </w:tc>
        <w:tc>
          <w:tcPr>
            <w:tcW w:w="72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3,2</w:t>
            </w:r>
          </w:p>
        </w:tc>
        <w:tc>
          <w:tcPr>
            <w:tcW w:w="72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3,8</w:t>
            </w:r>
          </w:p>
        </w:tc>
        <w:tc>
          <w:tcPr>
            <w:tcW w:w="73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2,9</w:t>
            </w:r>
          </w:p>
        </w:tc>
        <w:tc>
          <w:tcPr>
            <w:tcW w:w="724"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3,9</w:t>
            </w:r>
          </w:p>
        </w:tc>
      </w:tr>
      <w:tr w:rsidR="00ED7F17" w:rsidTr="00ED7F17">
        <w:trPr>
          <w:trHeight w:val="315"/>
        </w:trPr>
        <w:tc>
          <w:tcPr>
            <w:tcW w:w="2009"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Енотаевский район</w:t>
            </w:r>
          </w:p>
        </w:tc>
        <w:tc>
          <w:tcPr>
            <w:tcW w:w="87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108</w:t>
            </w:r>
          </w:p>
        </w:tc>
        <w:tc>
          <w:tcPr>
            <w:tcW w:w="87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75</w:t>
            </w:r>
          </w:p>
        </w:tc>
        <w:tc>
          <w:tcPr>
            <w:tcW w:w="87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68</w:t>
            </w:r>
          </w:p>
        </w:tc>
        <w:tc>
          <w:tcPr>
            <w:tcW w:w="72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60</w:t>
            </w:r>
          </w:p>
        </w:tc>
        <w:tc>
          <w:tcPr>
            <w:tcW w:w="73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46</w:t>
            </w:r>
          </w:p>
        </w:tc>
        <w:tc>
          <w:tcPr>
            <w:tcW w:w="87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5,4</w:t>
            </w:r>
          </w:p>
        </w:tc>
        <w:tc>
          <w:tcPr>
            <w:tcW w:w="72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3,8</w:t>
            </w:r>
          </w:p>
        </w:tc>
        <w:tc>
          <w:tcPr>
            <w:tcW w:w="72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3,4</w:t>
            </w:r>
          </w:p>
        </w:tc>
        <w:tc>
          <w:tcPr>
            <w:tcW w:w="73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3,0</w:t>
            </w:r>
          </w:p>
        </w:tc>
        <w:tc>
          <w:tcPr>
            <w:tcW w:w="724"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2,4</w:t>
            </w:r>
          </w:p>
        </w:tc>
      </w:tr>
      <w:tr w:rsidR="00ED7F17" w:rsidTr="00ED7F17">
        <w:trPr>
          <w:trHeight w:val="345"/>
        </w:trPr>
        <w:tc>
          <w:tcPr>
            <w:tcW w:w="2009"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Икрянинский район</w:t>
            </w:r>
          </w:p>
        </w:tc>
        <w:tc>
          <w:tcPr>
            <w:tcW w:w="87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118</w:t>
            </w:r>
          </w:p>
        </w:tc>
        <w:tc>
          <w:tcPr>
            <w:tcW w:w="87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180</w:t>
            </w:r>
          </w:p>
        </w:tc>
        <w:tc>
          <w:tcPr>
            <w:tcW w:w="87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173</w:t>
            </w:r>
          </w:p>
        </w:tc>
        <w:tc>
          <w:tcPr>
            <w:tcW w:w="72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229</w:t>
            </w:r>
          </w:p>
        </w:tc>
        <w:tc>
          <w:tcPr>
            <w:tcW w:w="73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285</w:t>
            </w:r>
          </w:p>
        </w:tc>
        <w:tc>
          <w:tcPr>
            <w:tcW w:w="87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3,1</w:t>
            </w:r>
          </w:p>
        </w:tc>
        <w:tc>
          <w:tcPr>
            <w:tcW w:w="72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4,8</w:t>
            </w:r>
          </w:p>
        </w:tc>
        <w:tc>
          <w:tcPr>
            <w:tcW w:w="72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4,7</w:t>
            </w:r>
          </w:p>
        </w:tc>
        <w:tc>
          <w:tcPr>
            <w:tcW w:w="73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6,3</w:t>
            </w:r>
          </w:p>
        </w:tc>
        <w:tc>
          <w:tcPr>
            <w:tcW w:w="724"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7,8</w:t>
            </w:r>
          </w:p>
        </w:tc>
      </w:tr>
      <w:tr w:rsidR="00ED7F17" w:rsidTr="00ED7F17">
        <w:trPr>
          <w:trHeight w:val="315"/>
        </w:trPr>
        <w:tc>
          <w:tcPr>
            <w:tcW w:w="2009"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Камызякский район</w:t>
            </w:r>
          </w:p>
        </w:tc>
        <w:tc>
          <w:tcPr>
            <w:tcW w:w="87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203</w:t>
            </w:r>
          </w:p>
        </w:tc>
        <w:tc>
          <w:tcPr>
            <w:tcW w:w="87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157</w:t>
            </w:r>
          </w:p>
        </w:tc>
        <w:tc>
          <w:tcPr>
            <w:tcW w:w="87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186</w:t>
            </w:r>
          </w:p>
        </w:tc>
        <w:tc>
          <w:tcPr>
            <w:tcW w:w="72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206</w:t>
            </w:r>
          </w:p>
        </w:tc>
        <w:tc>
          <w:tcPr>
            <w:tcW w:w="73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217</w:t>
            </w:r>
          </w:p>
        </w:tc>
        <w:tc>
          <w:tcPr>
            <w:tcW w:w="87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5,3</w:t>
            </w:r>
          </w:p>
        </w:tc>
        <w:tc>
          <w:tcPr>
            <w:tcW w:w="72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4,2</w:t>
            </w:r>
          </w:p>
        </w:tc>
        <w:tc>
          <w:tcPr>
            <w:tcW w:w="72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5,0</w:t>
            </w:r>
          </w:p>
        </w:tc>
        <w:tc>
          <w:tcPr>
            <w:tcW w:w="73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5,6</w:t>
            </w:r>
          </w:p>
        </w:tc>
        <w:tc>
          <w:tcPr>
            <w:tcW w:w="724"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5,9</w:t>
            </w:r>
          </w:p>
        </w:tc>
      </w:tr>
      <w:tr w:rsidR="00ED7F17" w:rsidTr="00ED7F17">
        <w:trPr>
          <w:trHeight w:val="345"/>
        </w:trPr>
        <w:tc>
          <w:tcPr>
            <w:tcW w:w="2009"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Красноярский район</w:t>
            </w:r>
          </w:p>
        </w:tc>
        <w:tc>
          <w:tcPr>
            <w:tcW w:w="87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95</w:t>
            </w:r>
          </w:p>
        </w:tc>
        <w:tc>
          <w:tcPr>
            <w:tcW w:w="87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103</w:t>
            </w:r>
          </w:p>
        </w:tc>
        <w:tc>
          <w:tcPr>
            <w:tcW w:w="87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97</w:t>
            </w:r>
          </w:p>
        </w:tc>
        <w:tc>
          <w:tcPr>
            <w:tcW w:w="72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68</w:t>
            </w:r>
          </w:p>
        </w:tc>
        <w:tc>
          <w:tcPr>
            <w:tcW w:w="73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80</w:t>
            </w:r>
          </w:p>
        </w:tc>
        <w:tc>
          <w:tcPr>
            <w:tcW w:w="87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3,5</w:t>
            </w:r>
          </w:p>
        </w:tc>
        <w:tc>
          <w:tcPr>
            <w:tcW w:w="72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3,8</w:t>
            </w:r>
          </w:p>
        </w:tc>
        <w:tc>
          <w:tcPr>
            <w:tcW w:w="72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3,5</w:t>
            </w:r>
          </w:p>
        </w:tc>
        <w:tc>
          <w:tcPr>
            <w:tcW w:w="73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2,5</w:t>
            </w:r>
          </w:p>
        </w:tc>
        <w:tc>
          <w:tcPr>
            <w:tcW w:w="724"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2,9</w:t>
            </w:r>
          </w:p>
        </w:tc>
      </w:tr>
      <w:tr w:rsidR="00ED7F17" w:rsidTr="00ED7F17">
        <w:trPr>
          <w:trHeight w:val="390"/>
        </w:trPr>
        <w:tc>
          <w:tcPr>
            <w:tcW w:w="2009"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Лиманский район</w:t>
            </w:r>
          </w:p>
        </w:tc>
        <w:tc>
          <w:tcPr>
            <w:tcW w:w="87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92</w:t>
            </w:r>
          </w:p>
        </w:tc>
        <w:tc>
          <w:tcPr>
            <w:tcW w:w="87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95</w:t>
            </w:r>
          </w:p>
        </w:tc>
        <w:tc>
          <w:tcPr>
            <w:tcW w:w="87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54</w:t>
            </w:r>
          </w:p>
        </w:tc>
        <w:tc>
          <w:tcPr>
            <w:tcW w:w="72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81</w:t>
            </w:r>
          </w:p>
        </w:tc>
        <w:tc>
          <w:tcPr>
            <w:tcW w:w="73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74</w:t>
            </w:r>
          </w:p>
        </w:tc>
        <w:tc>
          <w:tcPr>
            <w:tcW w:w="87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3,8</w:t>
            </w:r>
          </w:p>
        </w:tc>
        <w:tc>
          <w:tcPr>
            <w:tcW w:w="72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4,0</w:t>
            </w:r>
          </w:p>
        </w:tc>
        <w:tc>
          <w:tcPr>
            <w:tcW w:w="72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2,3</w:t>
            </w:r>
          </w:p>
        </w:tc>
        <w:tc>
          <w:tcPr>
            <w:tcW w:w="73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3,5</w:t>
            </w:r>
          </w:p>
        </w:tc>
        <w:tc>
          <w:tcPr>
            <w:tcW w:w="724"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3,2</w:t>
            </w:r>
          </w:p>
        </w:tc>
      </w:tr>
      <w:tr w:rsidR="00ED7F17" w:rsidTr="00ED7F17">
        <w:trPr>
          <w:trHeight w:val="390"/>
        </w:trPr>
        <w:tc>
          <w:tcPr>
            <w:tcW w:w="2009"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Наримановский район</w:t>
            </w:r>
          </w:p>
        </w:tc>
        <w:tc>
          <w:tcPr>
            <w:tcW w:w="87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65</w:t>
            </w:r>
          </w:p>
        </w:tc>
        <w:tc>
          <w:tcPr>
            <w:tcW w:w="87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50</w:t>
            </w:r>
          </w:p>
        </w:tc>
        <w:tc>
          <w:tcPr>
            <w:tcW w:w="87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182</w:t>
            </w:r>
          </w:p>
        </w:tc>
        <w:tc>
          <w:tcPr>
            <w:tcW w:w="72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189</w:t>
            </w:r>
          </w:p>
        </w:tc>
        <w:tc>
          <w:tcPr>
            <w:tcW w:w="73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199</w:t>
            </w:r>
          </w:p>
        </w:tc>
        <w:tc>
          <w:tcPr>
            <w:tcW w:w="87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1,8</w:t>
            </w:r>
          </w:p>
        </w:tc>
        <w:tc>
          <w:tcPr>
            <w:tcW w:w="72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w:t>
            </w:r>
          </w:p>
        </w:tc>
        <w:tc>
          <w:tcPr>
            <w:tcW w:w="72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5,0</w:t>
            </w:r>
          </w:p>
        </w:tc>
        <w:tc>
          <w:tcPr>
            <w:tcW w:w="73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5,2</w:t>
            </w:r>
          </w:p>
        </w:tc>
        <w:tc>
          <w:tcPr>
            <w:tcW w:w="724"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4,9</w:t>
            </w:r>
          </w:p>
        </w:tc>
      </w:tr>
      <w:tr w:rsidR="00ED7F17" w:rsidTr="00ED7F17">
        <w:trPr>
          <w:trHeight w:val="315"/>
        </w:trPr>
        <w:tc>
          <w:tcPr>
            <w:tcW w:w="2009"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Приволжский район</w:t>
            </w:r>
          </w:p>
        </w:tc>
        <w:tc>
          <w:tcPr>
            <w:tcW w:w="87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132</w:t>
            </w:r>
          </w:p>
        </w:tc>
        <w:tc>
          <w:tcPr>
            <w:tcW w:w="87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103</w:t>
            </w:r>
          </w:p>
        </w:tc>
        <w:tc>
          <w:tcPr>
            <w:tcW w:w="87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143</w:t>
            </w:r>
          </w:p>
        </w:tc>
        <w:tc>
          <w:tcPr>
            <w:tcW w:w="72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157</w:t>
            </w:r>
          </w:p>
        </w:tc>
        <w:tc>
          <w:tcPr>
            <w:tcW w:w="73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164</w:t>
            </w:r>
          </w:p>
        </w:tc>
        <w:tc>
          <w:tcPr>
            <w:tcW w:w="87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3,8</w:t>
            </w:r>
          </w:p>
        </w:tc>
        <w:tc>
          <w:tcPr>
            <w:tcW w:w="72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2,9</w:t>
            </w:r>
          </w:p>
        </w:tc>
        <w:tc>
          <w:tcPr>
            <w:tcW w:w="72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3,9</w:t>
            </w:r>
          </w:p>
        </w:tc>
        <w:tc>
          <w:tcPr>
            <w:tcW w:w="73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4,3</w:t>
            </w:r>
          </w:p>
        </w:tc>
        <w:tc>
          <w:tcPr>
            <w:tcW w:w="724"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3,8</w:t>
            </w:r>
          </w:p>
        </w:tc>
      </w:tr>
      <w:tr w:rsidR="00ED7F17" w:rsidTr="00ED7F17">
        <w:trPr>
          <w:trHeight w:val="315"/>
        </w:trPr>
        <w:tc>
          <w:tcPr>
            <w:tcW w:w="2009"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Харабалинский район</w:t>
            </w:r>
          </w:p>
        </w:tc>
        <w:tc>
          <w:tcPr>
            <w:tcW w:w="87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127</w:t>
            </w:r>
          </w:p>
        </w:tc>
        <w:tc>
          <w:tcPr>
            <w:tcW w:w="87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121</w:t>
            </w:r>
          </w:p>
        </w:tc>
        <w:tc>
          <w:tcPr>
            <w:tcW w:w="87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150</w:t>
            </w:r>
          </w:p>
        </w:tc>
        <w:tc>
          <w:tcPr>
            <w:tcW w:w="72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102</w:t>
            </w:r>
          </w:p>
        </w:tc>
        <w:tc>
          <w:tcPr>
            <w:tcW w:w="73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104</w:t>
            </w:r>
          </w:p>
        </w:tc>
        <w:tc>
          <w:tcPr>
            <w:tcW w:w="87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w:t>
            </w:r>
          </w:p>
        </w:tc>
        <w:tc>
          <w:tcPr>
            <w:tcW w:w="72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3,9</w:t>
            </w:r>
          </w:p>
        </w:tc>
        <w:tc>
          <w:tcPr>
            <w:tcW w:w="72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4,8</w:t>
            </w:r>
          </w:p>
        </w:tc>
        <w:tc>
          <w:tcPr>
            <w:tcW w:w="73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3,3</w:t>
            </w:r>
          </w:p>
        </w:tc>
        <w:tc>
          <w:tcPr>
            <w:tcW w:w="724"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3,4</w:t>
            </w:r>
          </w:p>
        </w:tc>
      </w:tr>
      <w:tr w:rsidR="00ED7F17" w:rsidTr="00ED7F17">
        <w:trPr>
          <w:trHeight w:val="315"/>
        </w:trPr>
        <w:tc>
          <w:tcPr>
            <w:tcW w:w="2009"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Черноярский район</w:t>
            </w:r>
          </w:p>
        </w:tc>
        <w:tc>
          <w:tcPr>
            <w:tcW w:w="87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75</w:t>
            </w:r>
          </w:p>
        </w:tc>
        <w:tc>
          <w:tcPr>
            <w:tcW w:w="87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69</w:t>
            </w:r>
          </w:p>
        </w:tc>
        <w:tc>
          <w:tcPr>
            <w:tcW w:w="87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53</w:t>
            </w:r>
          </w:p>
        </w:tc>
        <w:tc>
          <w:tcPr>
            <w:tcW w:w="72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49</w:t>
            </w:r>
          </w:p>
        </w:tc>
        <w:tc>
          <w:tcPr>
            <w:tcW w:w="73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44</w:t>
            </w:r>
          </w:p>
        </w:tc>
        <w:tc>
          <w:tcPr>
            <w:tcW w:w="87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4,8</w:t>
            </w:r>
          </w:p>
        </w:tc>
        <w:tc>
          <w:tcPr>
            <w:tcW w:w="72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4,4</w:t>
            </w:r>
          </w:p>
        </w:tc>
        <w:tc>
          <w:tcPr>
            <w:tcW w:w="72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3,4</w:t>
            </w:r>
          </w:p>
        </w:tc>
        <w:tc>
          <w:tcPr>
            <w:tcW w:w="73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3,2</w:t>
            </w:r>
          </w:p>
        </w:tc>
        <w:tc>
          <w:tcPr>
            <w:tcW w:w="724"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3,8</w:t>
            </w:r>
          </w:p>
        </w:tc>
      </w:tr>
      <w:tr w:rsidR="00ED7F17" w:rsidTr="00ED7F17">
        <w:trPr>
          <w:trHeight w:val="315"/>
        </w:trPr>
        <w:tc>
          <w:tcPr>
            <w:tcW w:w="2009"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 xml:space="preserve">г. Знаменск </w:t>
            </w:r>
          </w:p>
        </w:tc>
        <w:tc>
          <w:tcPr>
            <w:tcW w:w="87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131</w:t>
            </w:r>
          </w:p>
        </w:tc>
        <w:tc>
          <w:tcPr>
            <w:tcW w:w="87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75</w:t>
            </w:r>
          </w:p>
        </w:tc>
        <w:tc>
          <w:tcPr>
            <w:tcW w:w="87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67</w:t>
            </w:r>
          </w:p>
        </w:tc>
        <w:tc>
          <w:tcPr>
            <w:tcW w:w="72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81</w:t>
            </w:r>
          </w:p>
        </w:tc>
        <w:tc>
          <w:tcPr>
            <w:tcW w:w="73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58</w:t>
            </w:r>
          </w:p>
        </w:tc>
        <w:tc>
          <w:tcPr>
            <w:tcW w:w="87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5</w:t>
            </w:r>
          </w:p>
        </w:tc>
        <w:tc>
          <w:tcPr>
            <w:tcW w:w="72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2,9</w:t>
            </w:r>
          </w:p>
        </w:tc>
        <w:tc>
          <w:tcPr>
            <w:tcW w:w="72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2,6</w:t>
            </w:r>
          </w:p>
        </w:tc>
        <w:tc>
          <w:tcPr>
            <w:tcW w:w="73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3,2</w:t>
            </w:r>
          </w:p>
        </w:tc>
        <w:tc>
          <w:tcPr>
            <w:tcW w:w="724"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2,3</w:t>
            </w:r>
          </w:p>
        </w:tc>
      </w:tr>
      <w:tr w:rsidR="00ED7F17" w:rsidTr="00ED7F17">
        <w:trPr>
          <w:trHeight w:val="405"/>
        </w:trPr>
        <w:tc>
          <w:tcPr>
            <w:tcW w:w="2009"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bCs/>
                <w:color w:val="000000"/>
                <w:sz w:val="20"/>
                <w:szCs w:val="20"/>
                <w:lang w:eastAsia="ru-RU"/>
              </w:rPr>
              <w:t xml:space="preserve"> г. Астрахань</w:t>
            </w:r>
          </w:p>
        </w:tc>
        <w:tc>
          <w:tcPr>
            <w:tcW w:w="87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1581</w:t>
            </w:r>
          </w:p>
        </w:tc>
        <w:tc>
          <w:tcPr>
            <w:tcW w:w="87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1835</w:t>
            </w:r>
          </w:p>
        </w:tc>
        <w:tc>
          <w:tcPr>
            <w:tcW w:w="875" w:type="dxa"/>
            <w:tcBorders>
              <w:top w:val="nil"/>
              <w:left w:val="single" w:sz="4" w:space="0" w:color="000000"/>
              <w:bottom w:val="single" w:sz="4" w:space="0" w:color="000000"/>
              <w:right w:val="nil"/>
            </w:tcBorders>
            <w:shd w:val="clear" w:color="auto" w:fill="FFFFFF"/>
            <w:vAlign w:val="bottom"/>
            <w:hideMark/>
          </w:tcPr>
          <w:p w:rsidR="00ED7F17" w:rsidRDefault="00ED7F17">
            <w:pPr>
              <w:suppressAutoHyphens w:val="0"/>
              <w:jc w:val="center"/>
              <w:rPr>
                <w:rFonts w:ascii="Arial" w:eastAsia="Arial" w:hAnsi="Arial" w:cs="Arial"/>
                <w:sz w:val="22"/>
                <w:szCs w:val="22"/>
              </w:rPr>
            </w:pPr>
            <w:r>
              <w:rPr>
                <w:bCs/>
                <w:color w:val="auto"/>
                <w:sz w:val="20"/>
                <w:szCs w:val="20"/>
                <w:lang w:eastAsia="ru-RU"/>
              </w:rPr>
              <w:t>1593</w:t>
            </w:r>
          </w:p>
        </w:tc>
        <w:tc>
          <w:tcPr>
            <w:tcW w:w="72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1532</w:t>
            </w:r>
          </w:p>
        </w:tc>
        <w:tc>
          <w:tcPr>
            <w:tcW w:w="73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1563</w:t>
            </w:r>
          </w:p>
        </w:tc>
        <w:tc>
          <w:tcPr>
            <w:tcW w:w="87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3,7</w:t>
            </w:r>
          </w:p>
        </w:tc>
        <w:tc>
          <w:tcPr>
            <w:tcW w:w="72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4,3</w:t>
            </w:r>
          </w:p>
        </w:tc>
        <w:tc>
          <w:tcPr>
            <w:tcW w:w="72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3,7</w:t>
            </w:r>
          </w:p>
        </w:tc>
        <w:tc>
          <w:tcPr>
            <w:tcW w:w="73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3,6</w:t>
            </w:r>
          </w:p>
        </w:tc>
        <w:tc>
          <w:tcPr>
            <w:tcW w:w="724"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3,7</w:t>
            </w:r>
          </w:p>
        </w:tc>
      </w:tr>
      <w:tr w:rsidR="00ED7F17" w:rsidTr="00ED7F17">
        <w:trPr>
          <w:trHeight w:val="315"/>
        </w:trPr>
        <w:tc>
          <w:tcPr>
            <w:tcW w:w="2009"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b/>
                <w:bCs/>
                <w:color w:val="000000"/>
                <w:sz w:val="20"/>
                <w:szCs w:val="20"/>
                <w:lang w:eastAsia="ru-RU"/>
              </w:rPr>
              <w:t>Астраханская область</w:t>
            </w:r>
          </w:p>
        </w:tc>
        <w:tc>
          <w:tcPr>
            <w:tcW w:w="877"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3098</w:t>
            </w:r>
          </w:p>
        </w:tc>
        <w:tc>
          <w:tcPr>
            <w:tcW w:w="87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3239</w:t>
            </w:r>
          </w:p>
        </w:tc>
        <w:tc>
          <w:tcPr>
            <w:tcW w:w="87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3202</w:t>
            </w:r>
          </w:p>
        </w:tc>
        <w:tc>
          <w:tcPr>
            <w:tcW w:w="72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3176</w:t>
            </w:r>
          </w:p>
        </w:tc>
        <w:tc>
          <w:tcPr>
            <w:tcW w:w="73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3097</w:t>
            </w:r>
          </w:p>
        </w:tc>
        <w:tc>
          <w:tcPr>
            <w:tcW w:w="87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3,8</w:t>
            </w:r>
          </w:p>
        </w:tc>
        <w:tc>
          <w:tcPr>
            <w:tcW w:w="72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4,0</w:t>
            </w:r>
          </w:p>
        </w:tc>
        <w:tc>
          <w:tcPr>
            <w:tcW w:w="72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4,0</w:t>
            </w:r>
          </w:p>
        </w:tc>
        <w:tc>
          <w:tcPr>
            <w:tcW w:w="731"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4,0</w:t>
            </w:r>
          </w:p>
        </w:tc>
        <w:tc>
          <w:tcPr>
            <w:tcW w:w="724"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3,9</w:t>
            </w:r>
          </w:p>
        </w:tc>
      </w:tr>
    </w:tbl>
    <w:p w:rsidR="00ED7F17" w:rsidRDefault="00ED7F17" w:rsidP="00ED7F17">
      <w:pPr>
        <w:pStyle w:val="2f"/>
        <w:spacing w:line="276" w:lineRule="auto"/>
        <w:ind w:left="0" w:firstLine="709"/>
        <w:jc w:val="both"/>
        <w:rPr>
          <w:rFonts w:ascii="Times New Roman" w:hAnsi="Times New Roman"/>
          <w:sz w:val="24"/>
          <w:szCs w:val="24"/>
        </w:rPr>
      </w:pPr>
    </w:p>
    <w:p w:rsidR="00ED7F17" w:rsidRDefault="00ED7F17" w:rsidP="00ED7F17">
      <w:pPr>
        <w:pStyle w:val="2f"/>
        <w:spacing w:line="276" w:lineRule="auto"/>
        <w:ind w:left="0" w:firstLine="709"/>
        <w:jc w:val="both"/>
      </w:pPr>
      <w:r>
        <w:rPr>
          <w:rFonts w:ascii="Times New Roman" w:hAnsi="Times New Roman"/>
          <w:sz w:val="24"/>
          <w:szCs w:val="24"/>
        </w:rPr>
        <w:t>Общая заболеваемость транзиторной ишемической атакой (G45-46) составила в 2018 году 0,8 на 1000 населения, что на 55,4% выше уровня 2014 года (0,5 на 1000 населения), первичная заболеваемость составила 0,6 на 1000 населения, что в 2 раза выше уровня 2014 года (0,3 на 1000 населения).</w:t>
      </w:r>
    </w:p>
    <w:p w:rsidR="00ED7F17" w:rsidRDefault="00ED7F17" w:rsidP="00ED7F17">
      <w:pPr>
        <w:pStyle w:val="2f"/>
        <w:spacing w:line="276" w:lineRule="auto"/>
        <w:ind w:left="0" w:firstLine="709"/>
        <w:jc w:val="both"/>
      </w:pPr>
      <w:r>
        <w:rPr>
          <w:rFonts w:ascii="Times New Roman" w:hAnsi="Times New Roman"/>
          <w:sz w:val="24"/>
          <w:szCs w:val="24"/>
          <w:highlight w:val="white"/>
        </w:rPr>
        <w:t xml:space="preserve">Общая заболеваемость взрослого населения преходящими ишемическими инсультами в 2018 году составила 1,0 на 1000 взрослого населения, что на 7,4% выше уровня 2017 года (0,9) и на 58,7% выше уровня 2014 года (0,6). Самый высокий показатель отмечается в Черноярском районе – 2,0, самый низкий в Наримановском (0,3). Среди районов за последние 5 лет снижение показателя наблюдается в 3 районах – Володарский, Приволжский и Черноярский. Набольшее снижение отмечено в Черноярском районе – на 65,4% (с 5,7 до 2,0 на 1000 взрослого населения), но при этом показателя является самым высоким по области. В остальных районах наблюдается рост показателя. Максимальный рост показателя - в 35 раз, отмечается в Лиманском районе (с 0,04 до 1,4 на 1000 взрослого начеления) и превышает среднеобластной на 28,6% </w:t>
      </w:r>
    </w:p>
    <w:tbl>
      <w:tblPr>
        <w:tblW w:w="0" w:type="auto"/>
        <w:tblInd w:w="-30" w:type="dxa"/>
        <w:tblLayout w:type="fixed"/>
        <w:tblLook w:val="04A0" w:firstRow="1" w:lastRow="0" w:firstColumn="1" w:lastColumn="0" w:noHBand="0" w:noVBand="1"/>
      </w:tblPr>
      <w:tblGrid>
        <w:gridCol w:w="2553"/>
        <w:gridCol w:w="700"/>
        <w:gridCol w:w="662"/>
        <w:gridCol w:w="700"/>
        <w:gridCol w:w="700"/>
        <w:gridCol w:w="706"/>
        <w:gridCol w:w="635"/>
        <w:gridCol w:w="798"/>
        <w:gridCol w:w="800"/>
        <w:gridCol w:w="800"/>
        <w:gridCol w:w="830"/>
      </w:tblGrid>
      <w:tr w:rsidR="00ED7F17" w:rsidTr="00ED7F17">
        <w:trPr>
          <w:trHeight w:val="450"/>
        </w:trPr>
        <w:tc>
          <w:tcPr>
            <w:tcW w:w="2553" w:type="dxa"/>
            <w:vMerge w:val="restart"/>
            <w:tcBorders>
              <w:top w:val="single" w:sz="4" w:space="0" w:color="000000"/>
              <w:left w:val="single" w:sz="8"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Наименование территории</w:t>
            </w:r>
          </w:p>
        </w:tc>
        <w:tc>
          <w:tcPr>
            <w:tcW w:w="7331" w:type="dxa"/>
            <w:gridSpan w:val="10"/>
            <w:tcBorders>
              <w:top w:val="single" w:sz="4" w:space="0" w:color="000000"/>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Преходящие транзиторные церебральные ишемические приступы (атаки) и родственные синдромы</w:t>
            </w:r>
          </w:p>
        </w:tc>
      </w:tr>
      <w:tr w:rsidR="00ED7F17" w:rsidTr="00ED7F17">
        <w:trPr>
          <w:trHeight w:val="525"/>
        </w:trPr>
        <w:tc>
          <w:tcPr>
            <w:tcW w:w="2553" w:type="dxa"/>
            <w:vMerge/>
            <w:tcBorders>
              <w:top w:val="single" w:sz="4" w:space="0" w:color="000000"/>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7331" w:type="dxa"/>
            <w:gridSpan w:val="10"/>
            <w:tcBorders>
              <w:top w:val="single" w:sz="4" w:space="0" w:color="000000"/>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Общая заболеваемость (взрослые - 18 лет и старше)</w:t>
            </w:r>
          </w:p>
        </w:tc>
      </w:tr>
      <w:tr w:rsidR="00ED7F17" w:rsidTr="00ED7F17">
        <w:trPr>
          <w:trHeight w:val="360"/>
        </w:trPr>
        <w:tc>
          <w:tcPr>
            <w:tcW w:w="2553" w:type="dxa"/>
            <w:vMerge/>
            <w:tcBorders>
              <w:top w:val="single" w:sz="4" w:space="0" w:color="000000"/>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3468" w:type="dxa"/>
            <w:gridSpan w:val="5"/>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Абсолютное количество</w:t>
            </w:r>
          </w:p>
        </w:tc>
        <w:tc>
          <w:tcPr>
            <w:tcW w:w="3863" w:type="dxa"/>
            <w:gridSpan w:val="5"/>
            <w:tcBorders>
              <w:top w:val="single" w:sz="4" w:space="0" w:color="000000"/>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на 1000 взрослого населения</w:t>
            </w:r>
          </w:p>
        </w:tc>
      </w:tr>
      <w:tr w:rsidR="00ED7F17" w:rsidTr="00ED7F17">
        <w:trPr>
          <w:trHeight w:val="525"/>
        </w:trPr>
        <w:tc>
          <w:tcPr>
            <w:tcW w:w="2553" w:type="dxa"/>
            <w:vMerge/>
            <w:tcBorders>
              <w:top w:val="single" w:sz="4" w:space="0" w:color="000000"/>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2014</w:t>
            </w:r>
          </w:p>
        </w:tc>
        <w:tc>
          <w:tcPr>
            <w:tcW w:w="66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2015</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2016</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2017</w:t>
            </w:r>
          </w:p>
        </w:tc>
        <w:tc>
          <w:tcPr>
            <w:tcW w:w="706"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2018</w:t>
            </w:r>
          </w:p>
        </w:tc>
        <w:tc>
          <w:tcPr>
            <w:tcW w:w="63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2014</w:t>
            </w:r>
          </w:p>
        </w:tc>
        <w:tc>
          <w:tcPr>
            <w:tcW w:w="79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2015</w:t>
            </w:r>
          </w:p>
        </w:tc>
        <w:tc>
          <w:tcPr>
            <w:tcW w:w="8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2016</w:t>
            </w:r>
          </w:p>
        </w:tc>
        <w:tc>
          <w:tcPr>
            <w:tcW w:w="8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2017</w:t>
            </w:r>
          </w:p>
        </w:tc>
        <w:tc>
          <w:tcPr>
            <w:tcW w:w="830" w:type="dxa"/>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2018</w:t>
            </w:r>
          </w:p>
        </w:tc>
      </w:tr>
      <w:tr w:rsidR="00ED7F17" w:rsidTr="00ED7F17">
        <w:trPr>
          <w:trHeight w:val="315"/>
        </w:trPr>
        <w:tc>
          <w:tcPr>
            <w:tcW w:w="2553"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Ахтубинский район</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25</w:t>
            </w:r>
          </w:p>
        </w:tc>
        <w:tc>
          <w:tcPr>
            <w:tcW w:w="66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28</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22</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35</w:t>
            </w:r>
          </w:p>
        </w:tc>
        <w:tc>
          <w:tcPr>
            <w:tcW w:w="706"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72</w:t>
            </w:r>
          </w:p>
        </w:tc>
        <w:tc>
          <w:tcPr>
            <w:tcW w:w="63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0,5</w:t>
            </w:r>
          </w:p>
        </w:tc>
        <w:tc>
          <w:tcPr>
            <w:tcW w:w="79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0,6</w:t>
            </w:r>
          </w:p>
        </w:tc>
        <w:tc>
          <w:tcPr>
            <w:tcW w:w="8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0,5</w:t>
            </w:r>
          </w:p>
        </w:tc>
        <w:tc>
          <w:tcPr>
            <w:tcW w:w="8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0,7</w:t>
            </w:r>
          </w:p>
        </w:tc>
        <w:tc>
          <w:tcPr>
            <w:tcW w:w="830" w:type="dxa"/>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1,6</w:t>
            </w:r>
          </w:p>
        </w:tc>
      </w:tr>
      <w:tr w:rsidR="00ED7F17" w:rsidTr="00ED7F17">
        <w:trPr>
          <w:trHeight w:val="315"/>
        </w:trPr>
        <w:tc>
          <w:tcPr>
            <w:tcW w:w="2553"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Володарский район</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42</w:t>
            </w:r>
          </w:p>
        </w:tc>
        <w:tc>
          <w:tcPr>
            <w:tcW w:w="66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27</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17</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61</w:t>
            </w:r>
          </w:p>
        </w:tc>
        <w:tc>
          <w:tcPr>
            <w:tcW w:w="706"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32</w:t>
            </w:r>
          </w:p>
        </w:tc>
        <w:tc>
          <w:tcPr>
            <w:tcW w:w="63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1,2</w:t>
            </w:r>
          </w:p>
        </w:tc>
        <w:tc>
          <w:tcPr>
            <w:tcW w:w="79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0,8</w:t>
            </w:r>
          </w:p>
        </w:tc>
        <w:tc>
          <w:tcPr>
            <w:tcW w:w="8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0,5</w:t>
            </w:r>
          </w:p>
        </w:tc>
        <w:tc>
          <w:tcPr>
            <w:tcW w:w="8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1,7</w:t>
            </w:r>
          </w:p>
        </w:tc>
        <w:tc>
          <w:tcPr>
            <w:tcW w:w="830" w:type="dxa"/>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0,9</w:t>
            </w:r>
          </w:p>
        </w:tc>
      </w:tr>
      <w:tr w:rsidR="00ED7F17" w:rsidTr="00ED7F17">
        <w:trPr>
          <w:trHeight w:val="315"/>
        </w:trPr>
        <w:tc>
          <w:tcPr>
            <w:tcW w:w="2553"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Енотаевский район</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19</w:t>
            </w:r>
          </w:p>
        </w:tc>
        <w:tc>
          <w:tcPr>
            <w:tcW w:w="66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28</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17</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15</w:t>
            </w:r>
          </w:p>
        </w:tc>
        <w:tc>
          <w:tcPr>
            <w:tcW w:w="706"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31</w:t>
            </w:r>
          </w:p>
        </w:tc>
        <w:tc>
          <w:tcPr>
            <w:tcW w:w="63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0,9</w:t>
            </w:r>
          </w:p>
        </w:tc>
        <w:tc>
          <w:tcPr>
            <w:tcW w:w="79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1,4</w:t>
            </w:r>
          </w:p>
        </w:tc>
        <w:tc>
          <w:tcPr>
            <w:tcW w:w="8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0,9</w:t>
            </w:r>
          </w:p>
        </w:tc>
        <w:tc>
          <w:tcPr>
            <w:tcW w:w="8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0,8</w:t>
            </w:r>
          </w:p>
        </w:tc>
        <w:tc>
          <w:tcPr>
            <w:tcW w:w="830" w:type="dxa"/>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1,6</w:t>
            </w:r>
          </w:p>
        </w:tc>
      </w:tr>
      <w:tr w:rsidR="00ED7F17" w:rsidTr="00ED7F17">
        <w:trPr>
          <w:trHeight w:val="345"/>
        </w:trPr>
        <w:tc>
          <w:tcPr>
            <w:tcW w:w="2553"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Икрянинский район</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11</w:t>
            </w:r>
          </w:p>
        </w:tc>
        <w:tc>
          <w:tcPr>
            <w:tcW w:w="66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29</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22</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19</w:t>
            </w:r>
          </w:p>
        </w:tc>
        <w:tc>
          <w:tcPr>
            <w:tcW w:w="706"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38</w:t>
            </w:r>
          </w:p>
        </w:tc>
        <w:tc>
          <w:tcPr>
            <w:tcW w:w="63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0,3</w:t>
            </w:r>
          </w:p>
        </w:tc>
        <w:tc>
          <w:tcPr>
            <w:tcW w:w="79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0,8</w:t>
            </w:r>
          </w:p>
        </w:tc>
        <w:tc>
          <w:tcPr>
            <w:tcW w:w="8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0,6</w:t>
            </w:r>
          </w:p>
        </w:tc>
        <w:tc>
          <w:tcPr>
            <w:tcW w:w="8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0,5</w:t>
            </w:r>
          </w:p>
        </w:tc>
        <w:tc>
          <w:tcPr>
            <w:tcW w:w="830" w:type="dxa"/>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1,0</w:t>
            </w:r>
          </w:p>
        </w:tc>
      </w:tr>
      <w:tr w:rsidR="00ED7F17" w:rsidTr="00ED7F17">
        <w:trPr>
          <w:trHeight w:val="315"/>
        </w:trPr>
        <w:tc>
          <w:tcPr>
            <w:tcW w:w="2553"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Камызякский район</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7</w:t>
            </w:r>
          </w:p>
        </w:tc>
        <w:tc>
          <w:tcPr>
            <w:tcW w:w="66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31</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20</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20</w:t>
            </w:r>
          </w:p>
        </w:tc>
        <w:tc>
          <w:tcPr>
            <w:tcW w:w="706"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27</w:t>
            </w:r>
          </w:p>
        </w:tc>
        <w:tc>
          <w:tcPr>
            <w:tcW w:w="63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0,2</w:t>
            </w:r>
          </w:p>
        </w:tc>
        <w:tc>
          <w:tcPr>
            <w:tcW w:w="79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0,8</w:t>
            </w:r>
          </w:p>
        </w:tc>
        <w:tc>
          <w:tcPr>
            <w:tcW w:w="8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0,5</w:t>
            </w:r>
          </w:p>
        </w:tc>
        <w:tc>
          <w:tcPr>
            <w:tcW w:w="8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0,5</w:t>
            </w:r>
          </w:p>
        </w:tc>
        <w:tc>
          <w:tcPr>
            <w:tcW w:w="830" w:type="dxa"/>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0,7</w:t>
            </w:r>
          </w:p>
        </w:tc>
      </w:tr>
      <w:tr w:rsidR="00ED7F17" w:rsidTr="00ED7F17">
        <w:trPr>
          <w:trHeight w:val="345"/>
        </w:trPr>
        <w:tc>
          <w:tcPr>
            <w:tcW w:w="2553"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Красноярский район</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6</w:t>
            </w:r>
          </w:p>
        </w:tc>
        <w:tc>
          <w:tcPr>
            <w:tcW w:w="66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29</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11</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35</w:t>
            </w:r>
          </w:p>
        </w:tc>
        <w:tc>
          <w:tcPr>
            <w:tcW w:w="706"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44</w:t>
            </w:r>
          </w:p>
        </w:tc>
        <w:tc>
          <w:tcPr>
            <w:tcW w:w="63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0,2</w:t>
            </w:r>
          </w:p>
        </w:tc>
        <w:tc>
          <w:tcPr>
            <w:tcW w:w="79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1,1</w:t>
            </w:r>
          </w:p>
        </w:tc>
        <w:tc>
          <w:tcPr>
            <w:tcW w:w="8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0,4</w:t>
            </w:r>
          </w:p>
        </w:tc>
        <w:tc>
          <w:tcPr>
            <w:tcW w:w="8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1,3</w:t>
            </w:r>
          </w:p>
        </w:tc>
        <w:tc>
          <w:tcPr>
            <w:tcW w:w="830" w:type="dxa"/>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1,6</w:t>
            </w:r>
          </w:p>
        </w:tc>
      </w:tr>
      <w:tr w:rsidR="00ED7F17" w:rsidTr="00ED7F17">
        <w:trPr>
          <w:trHeight w:val="360"/>
        </w:trPr>
        <w:tc>
          <w:tcPr>
            <w:tcW w:w="2553"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Лиманский район</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w:t>
            </w:r>
          </w:p>
        </w:tc>
        <w:tc>
          <w:tcPr>
            <w:tcW w:w="66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24</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12</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20</w:t>
            </w:r>
          </w:p>
        </w:tc>
        <w:tc>
          <w:tcPr>
            <w:tcW w:w="706"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32</w:t>
            </w:r>
          </w:p>
        </w:tc>
        <w:tc>
          <w:tcPr>
            <w:tcW w:w="63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9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1,0</w:t>
            </w:r>
          </w:p>
        </w:tc>
        <w:tc>
          <w:tcPr>
            <w:tcW w:w="8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0,5</w:t>
            </w:r>
          </w:p>
        </w:tc>
        <w:tc>
          <w:tcPr>
            <w:tcW w:w="8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0,9</w:t>
            </w:r>
          </w:p>
        </w:tc>
        <w:tc>
          <w:tcPr>
            <w:tcW w:w="830" w:type="dxa"/>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1,4</w:t>
            </w:r>
          </w:p>
        </w:tc>
      </w:tr>
      <w:tr w:rsidR="00ED7F17" w:rsidTr="00ED7F17">
        <w:trPr>
          <w:trHeight w:val="345"/>
        </w:trPr>
        <w:tc>
          <w:tcPr>
            <w:tcW w:w="2553"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Наримановский район</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8</w:t>
            </w:r>
          </w:p>
        </w:tc>
        <w:tc>
          <w:tcPr>
            <w:tcW w:w="66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28</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47</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65</w:t>
            </w:r>
          </w:p>
        </w:tc>
        <w:tc>
          <w:tcPr>
            <w:tcW w:w="706"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12</w:t>
            </w:r>
          </w:p>
        </w:tc>
        <w:tc>
          <w:tcPr>
            <w:tcW w:w="63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0,2</w:t>
            </w:r>
          </w:p>
        </w:tc>
        <w:tc>
          <w:tcPr>
            <w:tcW w:w="79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0,8</w:t>
            </w:r>
          </w:p>
        </w:tc>
        <w:tc>
          <w:tcPr>
            <w:tcW w:w="8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1,3</w:t>
            </w:r>
          </w:p>
        </w:tc>
        <w:tc>
          <w:tcPr>
            <w:tcW w:w="8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1,8</w:t>
            </w:r>
          </w:p>
        </w:tc>
        <w:tc>
          <w:tcPr>
            <w:tcW w:w="830" w:type="dxa"/>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0,3</w:t>
            </w:r>
          </w:p>
        </w:tc>
      </w:tr>
      <w:tr w:rsidR="00ED7F17" w:rsidTr="00ED7F17">
        <w:trPr>
          <w:trHeight w:val="315"/>
        </w:trPr>
        <w:tc>
          <w:tcPr>
            <w:tcW w:w="2553"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Приволжский район</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45</w:t>
            </w:r>
          </w:p>
        </w:tc>
        <w:tc>
          <w:tcPr>
            <w:tcW w:w="66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31</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18</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22</w:t>
            </w:r>
          </w:p>
        </w:tc>
        <w:tc>
          <w:tcPr>
            <w:tcW w:w="706"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35</w:t>
            </w:r>
          </w:p>
        </w:tc>
        <w:tc>
          <w:tcPr>
            <w:tcW w:w="63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1,3</w:t>
            </w:r>
          </w:p>
        </w:tc>
        <w:tc>
          <w:tcPr>
            <w:tcW w:w="79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0,9</w:t>
            </w:r>
          </w:p>
        </w:tc>
        <w:tc>
          <w:tcPr>
            <w:tcW w:w="8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0,5</w:t>
            </w:r>
          </w:p>
        </w:tc>
        <w:tc>
          <w:tcPr>
            <w:tcW w:w="8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0,6</w:t>
            </w:r>
          </w:p>
        </w:tc>
        <w:tc>
          <w:tcPr>
            <w:tcW w:w="830" w:type="dxa"/>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0,9</w:t>
            </w:r>
          </w:p>
        </w:tc>
      </w:tr>
      <w:tr w:rsidR="00ED7F17" w:rsidTr="00ED7F17">
        <w:trPr>
          <w:trHeight w:val="315"/>
        </w:trPr>
        <w:tc>
          <w:tcPr>
            <w:tcW w:w="2553"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Харабалинский район</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15</w:t>
            </w:r>
          </w:p>
        </w:tc>
        <w:tc>
          <w:tcPr>
            <w:tcW w:w="66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29</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8</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33</w:t>
            </w:r>
          </w:p>
        </w:tc>
        <w:tc>
          <w:tcPr>
            <w:tcW w:w="706"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30</w:t>
            </w:r>
          </w:p>
        </w:tc>
        <w:tc>
          <w:tcPr>
            <w:tcW w:w="63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0,5</w:t>
            </w:r>
          </w:p>
        </w:tc>
        <w:tc>
          <w:tcPr>
            <w:tcW w:w="79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0,9</w:t>
            </w:r>
          </w:p>
        </w:tc>
        <w:tc>
          <w:tcPr>
            <w:tcW w:w="8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0,3</w:t>
            </w:r>
          </w:p>
        </w:tc>
        <w:tc>
          <w:tcPr>
            <w:tcW w:w="8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1,1</w:t>
            </w:r>
          </w:p>
        </w:tc>
        <w:tc>
          <w:tcPr>
            <w:tcW w:w="830" w:type="dxa"/>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1,0</w:t>
            </w:r>
          </w:p>
        </w:tc>
      </w:tr>
      <w:tr w:rsidR="00ED7F17" w:rsidTr="00ED7F17">
        <w:trPr>
          <w:trHeight w:val="315"/>
        </w:trPr>
        <w:tc>
          <w:tcPr>
            <w:tcW w:w="2553"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Черноярский район</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89</w:t>
            </w:r>
          </w:p>
        </w:tc>
        <w:tc>
          <w:tcPr>
            <w:tcW w:w="66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29</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w:t>
            </w:r>
          </w:p>
        </w:tc>
        <w:tc>
          <w:tcPr>
            <w:tcW w:w="706"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30</w:t>
            </w:r>
          </w:p>
        </w:tc>
        <w:tc>
          <w:tcPr>
            <w:tcW w:w="63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5,7</w:t>
            </w:r>
          </w:p>
        </w:tc>
        <w:tc>
          <w:tcPr>
            <w:tcW w:w="79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1,9</w:t>
            </w:r>
          </w:p>
        </w:tc>
        <w:tc>
          <w:tcPr>
            <w:tcW w:w="8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0,1</w:t>
            </w:r>
          </w:p>
        </w:tc>
        <w:tc>
          <w:tcPr>
            <w:tcW w:w="8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0,1</w:t>
            </w:r>
          </w:p>
        </w:tc>
        <w:tc>
          <w:tcPr>
            <w:tcW w:w="830" w:type="dxa"/>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2,0</w:t>
            </w:r>
          </w:p>
        </w:tc>
      </w:tr>
      <w:tr w:rsidR="00ED7F17" w:rsidTr="00ED7F17">
        <w:trPr>
          <w:trHeight w:val="315"/>
        </w:trPr>
        <w:tc>
          <w:tcPr>
            <w:tcW w:w="2553"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 xml:space="preserve">г. Знаменск </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37</w:t>
            </w:r>
          </w:p>
        </w:tc>
        <w:tc>
          <w:tcPr>
            <w:tcW w:w="66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51</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7</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5</w:t>
            </w:r>
          </w:p>
        </w:tc>
        <w:tc>
          <w:tcPr>
            <w:tcW w:w="706"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36</w:t>
            </w:r>
          </w:p>
        </w:tc>
        <w:tc>
          <w:tcPr>
            <w:tcW w:w="63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1,4</w:t>
            </w:r>
          </w:p>
        </w:tc>
        <w:tc>
          <w:tcPr>
            <w:tcW w:w="79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2,0</w:t>
            </w:r>
          </w:p>
        </w:tc>
        <w:tc>
          <w:tcPr>
            <w:tcW w:w="8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0,3</w:t>
            </w:r>
          </w:p>
        </w:tc>
        <w:tc>
          <w:tcPr>
            <w:tcW w:w="8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0,2</w:t>
            </w:r>
          </w:p>
        </w:tc>
        <w:tc>
          <w:tcPr>
            <w:tcW w:w="830" w:type="dxa"/>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1,4</w:t>
            </w:r>
          </w:p>
        </w:tc>
      </w:tr>
      <w:tr w:rsidR="00ED7F17" w:rsidTr="00ED7F17">
        <w:trPr>
          <w:trHeight w:val="405"/>
        </w:trPr>
        <w:tc>
          <w:tcPr>
            <w:tcW w:w="2553"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bCs/>
                <w:color w:val="000000"/>
                <w:sz w:val="20"/>
                <w:szCs w:val="20"/>
                <w:lang w:eastAsia="ru-RU"/>
              </w:rPr>
              <w:t xml:space="preserve"> г. Астрахань</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190</w:t>
            </w:r>
          </w:p>
        </w:tc>
        <w:tc>
          <w:tcPr>
            <w:tcW w:w="66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282</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340</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389</w:t>
            </w:r>
          </w:p>
        </w:tc>
        <w:tc>
          <w:tcPr>
            <w:tcW w:w="706"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352</w:t>
            </w:r>
          </w:p>
        </w:tc>
        <w:tc>
          <w:tcPr>
            <w:tcW w:w="63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0,4</w:t>
            </w:r>
          </w:p>
        </w:tc>
        <w:tc>
          <w:tcPr>
            <w:tcW w:w="79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0,7</w:t>
            </w:r>
          </w:p>
        </w:tc>
        <w:tc>
          <w:tcPr>
            <w:tcW w:w="8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0,8</w:t>
            </w:r>
          </w:p>
        </w:tc>
        <w:tc>
          <w:tcPr>
            <w:tcW w:w="8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0,9</w:t>
            </w:r>
          </w:p>
        </w:tc>
        <w:tc>
          <w:tcPr>
            <w:tcW w:w="830" w:type="dxa"/>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0,8</w:t>
            </w:r>
          </w:p>
        </w:tc>
      </w:tr>
      <w:tr w:rsidR="00ED7F17" w:rsidTr="00ED7F17">
        <w:trPr>
          <w:trHeight w:val="315"/>
        </w:trPr>
        <w:tc>
          <w:tcPr>
            <w:tcW w:w="2553"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b/>
                <w:bCs/>
                <w:color w:val="000000"/>
                <w:sz w:val="20"/>
                <w:szCs w:val="20"/>
                <w:lang w:eastAsia="ru-RU"/>
              </w:rPr>
              <w:t>Астраханская область</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495</w:t>
            </w:r>
          </w:p>
        </w:tc>
        <w:tc>
          <w:tcPr>
            <w:tcW w:w="66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646</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542</w:t>
            </w:r>
          </w:p>
        </w:tc>
        <w:tc>
          <w:tcPr>
            <w:tcW w:w="7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721</w:t>
            </w:r>
          </w:p>
        </w:tc>
        <w:tc>
          <w:tcPr>
            <w:tcW w:w="706"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771</w:t>
            </w:r>
          </w:p>
        </w:tc>
        <w:tc>
          <w:tcPr>
            <w:tcW w:w="63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0,6</w:t>
            </w:r>
          </w:p>
        </w:tc>
        <w:tc>
          <w:tcPr>
            <w:tcW w:w="79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0,8</w:t>
            </w:r>
          </w:p>
        </w:tc>
        <w:tc>
          <w:tcPr>
            <w:tcW w:w="8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0,7</w:t>
            </w:r>
          </w:p>
        </w:tc>
        <w:tc>
          <w:tcPr>
            <w:tcW w:w="800"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0,9</w:t>
            </w:r>
          </w:p>
        </w:tc>
        <w:tc>
          <w:tcPr>
            <w:tcW w:w="830" w:type="dxa"/>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1,0</w:t>
            </w:r>
          </w:p>
        </w:tc>
      </w:tr>
    </w:tbl>
    <w:p w:rsidR="00ED7F17" w:rsidRDefault="00ED7F17" w:rsidP="00ED7F17">
      <w:pPr>
        <w:pStyle w:val="2f"/>
        <w:spacing w:line="276" w:lineRule="auto"/>
        <w:ind w:left="0" w:firstLine="709"/>
        <w:jc w:val="both"/>
        <w:rPr>
          <w:rFonts w:ascii="Times New Roman" w:hAnsi="Times New Roman"/>
          <w:sz w:val="24"/>
          <w:szCs w:val="24"/>
          <w:highlight w:val="yellow"/>
        </w:rPr>
      </w:pPr>
    </w:p>
    <w:p w:rsidR="00ED7F17" w:rsidRDefault="00ED7F17" w:rsidP="00ED7F17">
      <w:pPr>
        <w:pStyle w:val="2f"/>
        <w:spacing w:line="276" w:lineRule="auto"/>
        <w:ind w:left="0" w:firstLine="709"/>
        <w:jc w:val="both"/>
      </w:pPr>
      <w:r>
        <w:rPr>
          <w:rFonts w:ascii="Times New Roman" w:hAnsi="Times New Roman"/>
          <w:sz w:val="24"/>
          <w:szCs w:val="24"/>
        </w:rPr>
        <w:t>Первичная заболеваемость взрослого населения преходящими ишемическими инсультами в 2018 году составила 0,8 на 1000 взрослого населения, что на 5,9% ниже уровня 2017 года (0,9), но на 119,2% выше уровня 2014 года (0,4). Самый высокий показатель отмечается в Черноярском районе – 2,0, самый низкий в Наримановском (0,3) и Ахтубинском (0,3) районах. Среди районов за последние 5 лет снижение показателя наблюдается только в Ахтубинском районе на 43,0% (с 0,5 до 0,6 на 1000 взрослого населения). В остальных районах наблюдается рост показателя. Максимальный рост отмечается в Красноярском районе, где показатель увеличился в 8 раз (с 0,2 до 1,6 на 1000 взрослого населения).</w:t>
      </w:r>
    </w:p>
    <w:p w:rsidR="00ED7F17" w:rsidRDefault="00ED7F17" w:rsidP="00ED7F17">
      <w:pPr>
        <w:pStyle w:val="2f"/>
        <w:spacing w:line="276" w:lineRule="auto"/>
        <w:ind w:left="0" w:firstLine="709"/>
        <w:jc w:val="both"/>
        <w:rPr>
          <w:rFonts w:ascii="Times New Roman" w:hAnsi="Times New Roman"/>
          <w:sz w:val="24"/>
          <w:szCs w:val="24"/>
          <w:highlight w:val="yellow"/>
        </w:rPr>
      </w:pPr>
    </w:p>
    <w:tbl>
      <w:tblPr>
        <w:tblW w:w="0" w:type="auto"/>
        <w:tblInd w:w="-30" w:type="dxa"/>
        <w:tblLayout w:type="fixed"/>
        <w:tblLook w:val="04A0" w:firstRow="1" w:lastRow="0" w:firstColumn="1" w:lastColumn="0" w:noHBand="0" w:noVBand="1"/>
      </w:tblPr>
      <w:tblGrid>
        <w:gridCol w:w="2574"/>
        <w:gridCol w:w="721"/>
        <w:gridCol w:w="702"/>
        <w:gridCol w:w="702"/>
        <w:gridCol w:w="682"/>
        <w:gridCol w:w="721"/>
        <w:gridCol w:w="682"/>
        <w:gridCol w:w="682"/>
        <w:gridCol w:w="798"/>
        <w:gridCol w:w="798"/>
        <w:gridCol w:w="822"/>
      </w:tblGrid>
      <w:tr w:rsidR="00ED7F17" w:rsidTr="00ED7F17">
        <w:trPr>
          <w:trHeight w:val="450"/>
        </w:trPr>
        <w:tc>
          <w:tcPr>
            <w:tcW w:w="2574" w:type="dxa"/>
            <w:vMerge w:val="restart"/>
            <w:tcBorders>
              <w:top w:val="single" w:sz="4" w:space="0" w:color="000000"/>
              <w:left w:val="single" w:sz="8"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Наименование территории</w:t>
            </w:r>
          </w:p>
        </w:tc>
        <w:tc>
          <w:tcPr>
            <w:tcW w:w="7310" w:type="dxa"/>
            <w:gridSpan w:val="10"/>
            <w:tcBorders>
              <w:top w:val="single" w:sz="4" w:space="0" w:color="000000"/>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Преходящие транзиторные церебральные ишемические приступы (атаки) и родственные синдромы</w:t>
            </w:r>
          </w:p>
        </w:tc>
      </w:tr>
      <w:tr w:rsidR="00ED7F17" w:rsidTr="00ED7F17">
        <w:trPr>
          <w:trHeight w:val="525"/>
        </w:trPr>
        <w:tc>
          <w:tcPr>
            <w:tcW w:w="2574" w:type="dxa"/>
            <w:vMerge/>
            <w:tcBorders>
              <w:top w:val="single" w:sz="4" w:space="0" w:color="000000"/>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7310" w:type="dxa"/>
            <w:gridSpan w:val="10"/>
            <w:tcBorders>
              <w:top w:val="single" w:sz="4" w:space="0" w:color="000000"/>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Первичная заболеваемость (взрослые - 18 лет и старше)</w:t>
            </w:r>
          </w:p>
        </w:tc>
      </w:tr>
      <w:tr w:rsidR="00ED7F17" w:rsidTr="00ED7F17">
        <w:trPr>
          <w:trHeight w:val="360"/>
        </w:trPr>
        <w:tc>
          <w:tcPr>
            <w:tcW w:w="2574" w:type="dxa"/>
            <w:vMerge/>
            <w:tcBorders>
              <w:top w:val="single" w:sz="4" w:space="0" w:color="000000"/>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3528" w:type="dxa"/>
            <w:gridSpan w:val="5"/>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Абсолютное количество</w:t>
            </w:r>
          </w:p>
        </w:tc>
        <w:tc>
          <w:tcPr>
            <w:tcW w:w="3782" w:type="dxa"/>
            <w:gridSpan w:val="5"/>
            <w:tcBorders>
              <w:top w:val="single" w:sz="4" w:space="0" w:color="000000"/>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на 1000 взрослого населения</w:t>
            </w:r>
          </w:p>
        </w:tc>
      </w:tr>
      <w:tr w:rsidR="00ED7F17" w:rsidTr="00ED7F17">
        <w:trPr>
          <w:trHeight w:val="525"/>
        </w:trPr>
        <w:tc>
          <w:tcPr>
            <w:tcW w:w="2574" w:type="dxa"/>
            <w:vMerge/>
            <w:tcBorders>
              <w:top w:val="single" w:sz="4" w:space="0" w:color="000000"/>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72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2014</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2015</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2016</w:t>
            </w:r>
          </w:p>
        </w:tc>
        <w:tc>
          <w:tcPr>
            <w:tcW w:w="68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2017</w:t>
            </w:r>
          </w:p>
        </w:tc>
        <w:tc>
          <w:tcPr>
            <w:tcW w:w="72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2018</w:t>
            </w:r>
          </w:p>
        </w:tc>
        <w:tc>
          <w:tcPr>
            <w:tcW w:w="68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2014</w:t>
            </w:r>
          </w:p>
        </w:tc>
        <w:tc>
          <w:tcPr>
            <w:tcW w:w="68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2015</w:t>
            </w:r>
          </w:p>
        </w:tc>
        <w:tc>
          <w:tcPr>
            <w:tcW w:w="79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2016</w:t>
            </w:r>
          </w:p>
        </w:tc>
        <w:tc>
          <w:tcPr>
            <w:tcW w:w="79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2017</w:t>
            </w:r>
          </w:p>
        </w:tc>
        <w:tc>
          <w:tcPr>
            <w:tcW w:w="822" w:type="dxa"/>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2018</w:t>
            </w:r>
          </w:p>
        </w:tc>
      </w:tr>
      <w:tr w:rsidR="00ED7F17" w:rsidTr="00ED7F17">
        <w:trPr>
          <w:trHeight w:val="315"/>
        </w:trPr>
        <w:tc>
          <w:tcPr>
            <w:tcW w:w="2574"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Ахтубинский район</w:t>
            </w:r>
          </w:p>
        </w:tc>
        <w:tc>
          <w:tcPr>
            <w:tcW w:w="72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22</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28</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22</w:t>
            </w:r>
          </w:p>
        </w:tc>
        <w:tc>
          <w:tcPr>
            <w:tcW w:w="68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35</w:t>
            </w:r>
          </w:p>
        </w:tc>
        <w:tc>
          <w:tcPr>
            <w:tcW w:w="72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12</w:t>
            </w:r>
          </w:p>
        </w:tc>
        <w:tc>
          <w:tcPr>
            <w:tcW w:w="68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0,5</w:t>
            </w:r>
          </w:p>
        </w:tc>
        <w:tc>
          <w:tcPr>
            <w:tcW w:w="68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0,6</w:t>
            </w:r>
          </w:p>
        </w:tc>
        <w:tc>
          <w:tcPr>
            <w:tcW w:w="79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0,5</w:t>
            </w:r>
          </w:p>
        </w:tc>
        <w:tc>
          <w:tcPr>
            <w:tcW w:w="79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0,7</w:t>
            </w:r>
          </w:p>
        </w:tc>
        <w:tc>
          <w:tcPr>
            <w:tcW w:w="822" w:type="dxa"/>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0,3</w:t>
            </w:r>
          </w:p>
        </w:tc>
      </w:tr>
      <w:tr w:rsidR="00ED7F17" w:rsidTr="00ED7F17">
        <w:trPr>
          <w:trHeight w:val="315"/>
        </w:trPr>
        <w:tc>
          <w:tcPr>
            <w:tcW w:w="2574"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Володарский район</w:t>
            </w:r>
          </w:p>
        </w:tc>
        <w:tc>
          <w:tcPr>
            <w:tcW w:w="72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25</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27</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17</w:t>
            </w:r>
          </w:p>
        </w:tc>
        <w:tc>
          <w:tcPr>
            <w:tcW w:w="68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61</w:t>
            </w:r>
          </w:p>
        </w:tc>
        <w:tc>
          <w:tcPr>
            <w:tcW w:w="72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32</w:t>
            </w:r>
          </w:p>
        </w:tc>
        <w:tc>
          <w:tcPr>
            <w:tcW w:w="68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0,7</w:t>
            </w:r>
          </w:p>
        </w:tc>
        <w:tc>
          <w:tcPr>
            <w:tcW w:w="68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0,8</w:t>
            </w:r>
          </w:p>
        </w:tc>
        <w:tc>
          <w:tcPr>
            <w:tcW w:w="79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0,5</w:t>
            </w:r>
          </w:p>
        </w:tc>
        <w:tc>
          <w:tcPr>
            <w:tcW w:w="79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1,7</w:t>
            </w:r>
          </w:p>
        </w:tc>
        <w:tc>
          <w:tcPr>
            <w:tcW w:w="822" w:type="dxa"/>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0,9</w:t>
            </w:r>
          </w:p>
        </w:tc>
      </w:tr>
      <w:tr w:rsidR="00ED7F17" w:rsidTr="00ED7F17">
        <w:trPr>
          <w:trHeight w:val="315"/>
        </w:trPr>
        <w:tc>
          <w:tcPr>
            <w:tcW w:w="2574"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Енотаевский район</w:t>
            </w:r>
          </w:p>
        </w:tc>
        <w:tc>
          <w:tcPr>
            <w:tcW w:w="72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10</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28</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17</w:t>
            </w:r>
          </w:p>
        </w:tc>
        <w:tc>
          <w:tcPr>
            <w:tcW w:w="68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15</w:t>
            </w:r>
          </w:p>
        </w:tc>
        <w:tc>
          <w:tcPr>
            <w:tcW w:w="72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31</w:t>
            </w:r>
          </w:p>
        </w:tc>
        <w:tc>
          <w:tcPr>
            <w:tcW w:w="68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0,5</w:t>
            </w:r>
          </w:p>
        </w:tc>
        <w:tc>
          <w:tcPr>
            <w:tcW w:w="68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1,4</w:t>
            </w:r>
          </w:p>
        </w:tc>
        <w:tc>
          <w:tcPr>
            <w:tcW w:w="79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0,9</w:t>
            </w:r>
          </w:p>
        </w:tc>
        <w:tc>
          <w:tcPr>
            <w:tcW w:w="79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0,8</w:t>
            </w:r>
          </w:p>
        </w:tc>
        <w:tc>
          <w:tcPr>
            <w:tcW w:w="822" w:type="dxa"/>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1,6</w:t>
            </w:r>
          </w:p>
        </w:tc>
      </w:tr>
      <w:tr w:rsidR="00ED7F17" w:rsidTr="00ED7F17">
        <w:trPr>
          <w:trHeight w:val="345"/>
        </w:trPr>
        <w:tc>
          <w:tcPr>
            <w:tcW w:w="2574"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Икрянинский район</w:t>
            </w:r>
          </w:p>
        </w:tc>
        <w:tc>
          <w:tcPr>
            <w:tcW w:w="72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9</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29</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22</w:t>
            </w:r>
          </w:p>
        </w:tc>
        <w:tc>
          <w:tcPr>
            <w:tcW w:w="68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19</w:t>
            </w:r>
          </w:p>
        </w:tc>
        <w:tc>
          <w:tcPr>
            <w:tcW w:w="72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38</w:t>
            </w:r>
          </w:p>
        </w:tc>
        <w:tc>
          <w:tcPr>
            <w:tcW w:w="68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0,2</w:t>
            </w:r>
          </w:p>
        </w:tc>
        <w:tc>
          <w:tcPr>
            <w:tcW w:w="68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0,8</w:t>
            </w:r>
          </w:p>
        </w:tc>
        <w:tc>
          <w:tcPr>
            <w:tcW w:w="79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0,6</w:t>
            </w:r>
          </w:p>
        </w:tc>
        <w:tc>
          <w:tcPr>
            <w:tcW w:w="79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0,5</w:t>
            </w:r>
          </w:p>
        </w:tc>
        <w:tc>
          <w:tcPr>
            <w:tcW w:w="822" w:type="dxa"/>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1,0</w:t>
            </w:r>
          </w:p>
        </w:tc>
      </w:tr>
      <w:tr w:rsidR="00ED7F17" w:rsidTr="00ED7F17">
        <w:trPr>
          <w:trHeight w:val="315"/>
        </w:trPr>
        <w:tc>
          <w:tcPr>
            <w:tcW w:w="2574"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Камызякский район</w:t>
            </w:r>
          </w:p>
        </w:tc>
        <w:tc>
          <w:tcPr>
            <w:tcW w:w="72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6</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31</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20</w:t>
            </w:r>
          </w:p>
        </w:tc>
        <w:tc>
          <w:tcPr>
            <w:tcW w:w="68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20</w:t>
            </w:r>
          </w:p>
        </w:tc>
        <w:tc>
          <w:tcPr>
            <w:tcW w:w="72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27</w:t>
            </w:r>
          </w:p>
        </w:tc>
        <w:tc>
          <w:tcPr>
            <w:tcW w:w="68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0,2</w:t>
            </w:r>
          </w:p>
        </w:tc>
        <w:tc>
          <w:tcPr>
            <w:tcW w:w="68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0,8</w:t>
            </w:r>
          </w:p>
        </w:tc>
        <w:tc>
          <w:tcPr>
            <w:tcW w:w="79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0,5</w:t>
            </w:r>
          </w:p>
        </w:tc>
        <w:tc>
          <w:tcPr>
            <w:tcW w:w="79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0,5</w:t>
            </w:r>
          </w:p>
        </w:tc>
        <w:tc>
          <w:tcPr>
            <w:tcW w:w="822" w:type="dxa"/>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0,7</w:t>
            </w:r>
          </w:p>
        </w:tc>
      </w:tr>
      <w:tr w:rsidR="00ED7F17" w:rsidTr="00ED7F17">
        <w:trPr>
          <w:trHeight w:val="345"/>
        </w:trPr>
        <w:tc>
          <w:tcPr>
            <w:tcW w:w="2574"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Красноярский район</w:t>
            </w:r>
          </w:p>
        </w:tc>
        <w:tc>
          <w:tcPr>
            <w:tcW w:w="72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6</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29</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11</w:t>
            </w:r>
          </w:p>
        </w:tc>
        <w:tc>
          <w:tcPr>
            <w:tcW w:w="68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35</w:t>
            </w:r>
          </w:p>
        </w:tc>
        <w:tc>
          <w:tcPr>
            <w:tcW w:w="72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44</w:t>
            </w:r>
          </w:p>
        </w:tc>
        <w:tc>
          <w:tcPr>
            <w:tcW w:w="68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0,2</w:t>
            </w:r>
          </w:p>
        </w:tc>
        <w:tc>
          <w:tcPr>
            <w:tcW w:w="68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1,1</w:t>
            </w:r>
          </w:p>
        </w:tc>
        <w:tc>
          <w:tcPr>
            <w:tcW w:w="79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0,4</w:t>
            </w:r>
          </w:p>
        </w:tc>
        <w:tc>
          <w:tcPr>
            <w:tcW w:w="79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1,3</w:t>
            </w:r>
          </w:p>
        </w:tc>
        <w:tc>
          <w:tcPr>
            <w:tcW w:w="822" w:type="dxa"/>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1,6</w:t>
            </w:r>
          </w:p>
        </w:tc>
      </w:tr>
      <w:tr w:rsidR="00ED7F17" w:rsidTr="00ED7F17">
        <w:trPr>
          <w:trHeight w:val="360"/>
        </w:trPr>
        <w:tc>
          <w:tcPr>
            <w:tcW w:w="2574"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Лиманский район</w:t>
            </w:r>
          </w:p>
        </w:tc>
        <w:tc>
          <w:tcPr>
            <w:tcW w:w="72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24</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12</w:t>
            </w:r>
          </w:p>
        </w:tc>
        <w:tc>
          <w:tcPr>
            <w:tcW w:w="68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20</w:t>
            </w:r>
          </w:p>
        </w:tc>
        <w:tc>
          <w:tcPr>
            <w:tcW w:w="72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32</w:t>
            </w:r>
          </w:p>
        </w:tc>
        <w:tc>
          <w:tcPr>
            <w:tcW w:w="68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68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1,0</w:t>
            </w:r>
          </w:p>
        </w:tc>
        <w:tc>
          <w:tcPr>
            <w:tcW w:w="79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0,5</w:t>
            </w:r>
          </w:p>
        </w:tc>
        <w:tc>
          <w:tcPr>
            <w:tcW w:w="79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0,9</w:t>
            </w:r>
          </w:p>
        </w:tc>
        <w:tc>
          <w:tcPr>
            <w:tcW w:w="822" w:type="dxa"/>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1,4</w:t>
            </w:r>
          </w:p>
        </w:tc>
      </w:tr>
      <w:tr w:rsidR="00ED7F17" w:rsidTr="00ED7F17">
        <w:trPr>
          <w:trHeight w:val="345"/>
        </w:trPr>
        <w:tc>
          <w:tcPr>
            <w:tcW w:w="2574"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Наримановский район</w:t>
            </w:r>
          </w:p>
        </w:tc>
        <w:tc>
          <w:tcPr>
            <w:tcW w:w="72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7</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28</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47</w:t>
            </w:r>
          </w:p>
        </w:tc>
        <w:tc>
          <w:tcPr>
            <w:tcW w:w="68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65</w:t>
            </w:r>
          </w:p>
        </w:tc>
        <w:tc>
          <w:tcPr>
            <w:tcW w:w="72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12</w:t>
            </w:r>
          </w:p>
        </w:tc>
        <w:tc>
          <w:tcPr>
            <w:tcW w:w="68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0,2</w:t>
            </w:r>
          </w:p>
        </w:tc>
        <w:tc>
          <w:tcPr>
            <w:tcW w:w="68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0,8</w:t>
            </w:r>
          </w:p>
        </w:tc>
        <w:tc>
          <w:tcPr>
            <w:tcW w:w="79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1,3</w:t>
            </w:r>
          </w:p>
        </w:tc>
        <w:tc>
          <w:tcPr>
            <w:tcW w:w="79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1,8</w:t>
            </w:r>
          </w:p>
        </w:tc>
        <w:tc>
          <w:tcPr>
            <w:tcW w:w="822" w:type="dxa"/>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0,3</w:t>
            </w:r>
          </w:p>
        </w:tc>
      </w:tr>
      <w:tr w:rsidR="00ED7F17" w:rsidTr="00ED7F17">
        <w:trPr>
          <w:trHeight w:val="315"/>
        </w:trPr>
        <w:tc>
          <w:tcPr>
            <w:tcW w:w="2574"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Приволжский район</w:t>
            </w:r>
          </w:p>
        </w:tc>
        <w:tc>
          <w:tcPr>
            <w:tcW w:w="72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20</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31</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18</w:t>
            </w:r>
          </w:p>
        </w:tc>
        <w:tc>
          <w:tcPr>
            <w:tcW w:w="68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22</w:t>
            </w:r>
          </w:p>
        </w:tc>
        <w:tc>
          <w:tcPr>
            <w:tcW w:w="72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35</w:t>
            </w:r>
          </w:p>
        </w:tc>
        <w:tc>
          <w:tcPr>
            <w:tcW w:w="68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0,6</w:t>
            </w:r>
          </w:p>
        </w:tc>
        <w:tc>
          <w:tcPr>
            <w:tcW w:w="68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0,9</w:t>
            </w:r>
          </w:p>
        </w:tc>
        <w:tc>
          <w:tcPr>
            <w:tcW w:w="79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0,5</w:t>
            </w:r>
          </w:p>
        </w:tc>
        <w:tc>
          <w:tcPr>
            <w:tcW w:w="79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0,6</w:t>
            </w:r>
          </w:p>
        </w:tc>
        <w:tc>
          <w:tcPr>
            <w:tcW w:w="822" w:type="dxa"/>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0,9</w:t>
            </w:r>
          </w:p>
        </w:tc>
      </w:tr>
      <w:tr w:rsidR="00ED7F17" w:rsidTr="00ED7F17">
        <w:trPr>
          <w:trHeight w:val="315"/>
        </w:trPr>
        <w:tc>
          <w:tcPr>
            <w:tcW w:w="2574"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Харабалинский район</w:t>
            </w:r>
          </w:p>
        </w:tc>
        <w:tc>
          <w:tcPr>
            <w:tcW w:w="72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15</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29</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8</w:t>
            </w:r>
          </w:p>
        </w:tc>
        <w:tc>
          <w:tcPr>
            <w:tcW w:w="68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33</w:t>
            </w:r>
          </w:p>
        </w:tc>
        <w:tc>
          <w:tcPr>
            <w:tcW w:w="72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30</w:t>
            </w:r>
          </w:p>
        </w:tc>
        <w:tc>
          <w:tcPr>
            <w:tcW w:w="68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0,5</w:t>
            </w:r>
          </w:p>
        </w:tc>
        <w:tc>
          <w:tcPr>
            <w:tcW w:w="68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0,9</w:t>
            </w:r>
          </w:p>
        </w:tc>
        <w:tc>
          <w:tcPr>
            <w:tcW w:w="79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0,3</w:t>
            </w:r>
          </w:p>
        </w:tc>
        <w:tc>
          <w:tcPr>
            <w:tcW w:w="79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1,1</w:t>
            </w:r>
          </w:p>
        </w:tc>
        <w:tc>
          <w:tcPr>
            <w:tcW w:w="822" w:type="dxa"/>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1,0</w:t>
            </w:r>
          </w:p>
        </w:tc>
      </w:tr>
      <w:tr w:rsidR="00ED7F17" w:rsidTr="00ED7F17">
        <w:trPr>
          <w:trHeight w:val="315"/>
        </w:trPr>
        <w:tc>
          <w:tcPr>
            <w:tcW w:w="2574"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Черноярский район</w:t>
            </w:r>
          </w:p>
        </w:tc>
        <w:tc>
          <w:tcPr>
            <w:tcW w:w="72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30</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29</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w:t>
            </w:r>
          </w:p>
        </w:tc>
        <w:tc>
          <w:tcPr>
            <w:tcW w:w="68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w:t>
            </w:r>
          </w:p>
        </w:tc>
        <w:tc>
          <w:tcPr>
            <w:tcW w:w="72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30</w:t>
            </w:r>
          </w:p>
        </w:tc>
        <w:tc>
          <w:tcPr>
            <w:tcW w:w="68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1,9</w:t>
            </w:r>
          </w:p>
        </w:tc>
        <w:tc>
          <w:tcPr>
            <w:tcW w:w="68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1,9</w:t>
            </w:r>
          </w:p>
        </w:tc>
        <w:tc>
          <w:tcPr>
            <w:tcW w:w="79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0,1</w:t>
            </w:r>
          </w:p>
        </w:tc>
        <w:tc>
          <w:tcPr>
            <w:tcW w:w="79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0,1</w:t>
            </w:r>
          </w:p>
        </w:tc>
        <w:tc>
          <w:tcPr>
            <w:tcW w:w="822" w:type="dxa"/>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2,0</w:t>
            </w:r>
          </w:p>
        </w:tc>
      </w:tr>
      <w:tr w:rsidR="00ED7F17" w:rsidTr="00ED7F17">
        <w:trPr>
          <w:trHeight w:val="315"/>
        </w:trPr>
        <w:tc>
          <w:tcPr>
            <w:tcW w:w="2574"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 xml:space="preserve">г. Знаменск </w:t>
            </w:r>
          </w:p>
        </w:tc>
        <w:tc>
          <w:tcPr>
            <w:tcW w:w="72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24</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51</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7</w:t>
            </w:r>
          </w:p>
        </w:tc>
        <w:tc>
          <w:tcPr>
            <w:tcW w:w="68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5</w:t>
            </w:r>
          </w:p>
        </w:tc>
        <w:tc>
          <w:tcPr>
            <w:tcW w:w="72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36</w:t>
            </w:r>
          </w:p>
        </w:tc>
        <w:tc>
          <w:tcPr>
            <w:tcW w:w="68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0,9</w:t>
            </w:r>
          </w:p>
        </w:tc>
        <w:tc>
          <w:tcPr>
            <w:tcW w:w="68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2,0</w:t>
            </w:r>
          </w:p>
        </w:tc>
        <w:tc>
          <w:tcPr>
            <w:tcW w:w="79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0,3</w:t>
            </w:r>
          </w:p>
        </w:tc>
        <w:tc>
          <w:tcPr>
            <w:tcW w:w="79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0,2</w:t>
            </w:r>
          </w:p>
        </w:tc>
        <w:tc>
          <w:tcPr>
            <w:tcW w:w="822" w:type="dxa"/>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1,4</w:t>
            </w:r>
          </w:p>
        </w:tc>
      </w:tr>
      <w:tr w:rsidR="00ED7F17" w:rsidTr="00ED7F17">
        <w:trPr>
          <w:trHeight w:val="405"/>
        </w:trPr>
        <w:tc>
          <w:tcPr>
            <w:tcW w:w="2574"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bCs/>
                <w:color w:val="000000"/>
                <w:sz w:val="20"/>
                <w:szCs w:val="20"/>
                <w:lang w:eastAsia="ru-RU"/>
              </w:rPr>
              <w:t xml:space="preserve"> г. Астрахань</w:t>
            </w:r>
          </w:p>
        </w:tc>
        <w:tc>
          <w:tcPr>
            <w:tcW w:w="72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130</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282</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261</w:t>
            </w:r>
          </w:p>
        </w:tc>
        <w:tc>
          <w:tcPr>
            <w:tcW w:w="68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366</w:t>
            </w:r>
          </w:p>
        </w:tc>
        <w:tc>
          <w:tcPr>
            <w:tcW w:w="72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295</w:t>
            </w:r>
          </w:p>
        </w:tc>
        <w:tc>
          <w:tcPr>
            <w:tcW w:w="68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0,3</w:t>
            </w:r>
          </w:p>
        </w:tc>
        <w:tc>
          <w:tcPr>
            <w:tcW w:w="68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0,7</w:t>
            </w:r>
          </w:p>
        </w:tc>
        <w:tc>
          <w:tcPr>
            <w:tcW w:w="79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0,6</w:t>
            </w:r>
          </w:p>
        </w:tc>
        <w:tc>
          <w:tcPr>
            <w:tcW w:w="79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0,9</w:t>
            </w:r>
          </w:p>
        </w:tc>
        <w:tc>
          <w:tcPr>
            <w:tcW w:w="822" w:type="dxa"/>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Cs/>
                <w:color w:val="000000"/>
                <w:sz w:val="20"/>
                <w:szCs w:val="20"/>
                <w:lang w:eastAsia="ru-RU"/>
              </w:rPr>
              <w:t>0,7</w:t>
            </w:r>
          </w:p>
        </w:tc>
      </w:tr>
      <w:tr w:rsidR="00ED7F17" w:rsidTr="00ED7F17">
        <w:trPr>
          <w:trHeight w:val="315"/>
        </w:trPr>
        <w:tc>
          <w:tcPr>
            <w:tcW w:w="2574"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b/>
                <w:bCs/>
                <w:color w:val="000000"/>
                <w:sz w:val="20"/>
                <w:szCs w:val="20"/>
                <w:lang w:eastAsia="ru-RU"/>
              </w:rPr>
              <w:t>Астраханская область</w:t>
            </w:r>
          </w:p>
        </w:tc>
        <w:tc>
          <w:tcPr>
            <w:tcW w:w="72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304</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646</w:t>
            </w:r>
          </w:p>
        </w:tc>
        <w:tc>
          <w:tcPr>
            <w:tcW w:w="70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463</w:t>
            </w:r>
          </w:p>
        </w:tc>
        <w:tc>
          <w:tcPr>
            <w:tcW w:w="68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698</w:t>
            </w:r>
          </w:p>
        </w:tc>
        <w:tc>
          <w:tcPr>
            <w:tcW w:w="721"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654</w:t>
            </w:r>
          </w:p>
        </w:tc>
        <w:tc>
          <w:tcPr>
            <w:tcW w:w="68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0,4</w:t>
            </w:r>
          </w:p>
        </w:tc>
        <w:tc>
          <w:tcPr>
            <w:tcW w:w="682"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0,8</w:t>
            </w:r>
          </w:p>
        </w:tc>
        <w:tc>
          <w:tcPr>
            <w:tcW w:w="79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0,6</w:t>
            </w:r>
          </w:p>
        </w:tc>
        <w:tc>
          <w:tcPr>
            <w:tcW w:w="798"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0,9</w:t>
            </w:r>
          </w:p>
        </w:tc>
        <w:tc>
          <w:tcPr>
            <w:tcW w:w="822" w:type="dxa"/>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0,8</w:t>
            </w:r>
          </w:p>
        </w:tc>
      </w:tr>
    </w:tbl>
    <w:p w:rsidR="00ED7F17" w:rsidRDefault="00ED7F17" w:rsidP="00ED7F17">
      <w:pPr>
        <w:pStyle w:val="2f"/>
        <w:spacing w:line="276" w:lineRule="auto"/>
        <w:ind w:left="0" w:firstLine="709"/>
        <w:jc w:val="both"/>
        <w:rPr>
          <w:rFonts w:ascii="Times New Roman" w:hAnsi="Times New Roman"/>
          <w:sz w:val="24"/>
          <w:szCs w:val="24"/>
          <w:highlight w:val="yellow"/>
          <w:lang w:val="en-US"/>
        </w:rPr>
      </w:pPr>
    </w:p>
    <w:p w:rsidR="00ED7F17" w:rsidRDefault="00ED7F17" w:rsidP="00ED7F17">
      <w:pPr>
        <w:pStyle w:val="2f"/>
        <w:spacing w:line="276" w:lineRule="auto"/>
        <w:ind w:left="0" w:firstLine="709"/>
        <w:jc w:val="both"/>
      </w:pPr>
      <w:r>
        <w:rPr>
          <w:rFonts w:ascii="Times New Roman" w:hAnsi="Times New Roman"/>
          <w:sz w:val="24"/>
          <w:szCs w:val="24"/>
        </w:rPr>
        <w:t>Общая и первичная заболеваемость взрослого населения инсультом, неуточненным как кровоизлияние или инфаркт мозга (I 64), в 2017 - 2018 годах не регистрировалась, в 2014 году составила 0,9 на 1000 взрослого населения.</w:t>
      </w:r>
    </w:p>
    <w:p w:rsidR="00ED7F17" w:rsidRDefault="00ED7F17" w:rsidP="00ED7F17">
      <w:pPr>
        <w:pStyle w:val="2f"/>
        <w:spacing w:line="276" w:lineRule="auto"/>
        <w:ind w:left="0" w:firstLine="709"/>
        <w:jc w:val="both"/>
        <w:rPr>
          <w:rFonts w:ascii="Times New Roman" w:hAnsi="Times New Roman"/>
          <w:sz w:val="24"/>
          <w:szCs w:val="24"/>
        </w:rPr>
      </w:pPr>
    </w:p>
    <w:tbl>
      <w:tblPr>
        <w:tblW w:w="0" w:type="auto"/>
        <w:tblInd w:w="-30" w:type="dxa"/>
        <w:tblLayout w:type="fixed"/>
        <w:tblLook w:val="04A0" w:firstRow="1" w:lastRow="0" w:firstColumn="1" w:lastColumn="0" w:noHBand="0" w:noVBand="1"/>
      </w:tblPr>
      <w:tblGrid>
        <w:gridCol w:w="2400"/>
        <w:gridCol w:w="745"/>
        <w:gridCol w:w="745"/>
        <w:gridCol w:w="745"/>
        <w:gridCol w:w="745"/>
        <w:gridCol w:w="749"/>
        <w:gridCol w:w="745"/>
        <w:gridCol w:w="745"/>
        <w:gridCol w:w="745"/>
        <w:gridCol w:w="745"/>
        <w:gridCol w:w="745"/>
        <w:gridCol w:w="30"/>
      </w:tblGrid>
      <w:tr w:rsidR="00ED7F17" w:rsidTr="00ED7F17">
        <w:trPr>
          <w:gridAfter w:val="1"/>
          <w:wAfter w:w="30" w:type="dxa"/>
          <w:trHeight w:val="450"/>
        </w:trPr>
        <w:tc>
          <w:tcPr>
            <w:tcW w:w="2400" w:type="dxa"/>
            <w:vMerge w:val="restart"/>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Наименование территории</w:t>
            </w:r>
          </w:p>
        </w:tc>
        <w:tc>
          <w:tcPr>
            <w:tcW w:w="7454" w:type="dxa"/>
            <w:gridSpan w:val="10"/>
            <w:tcBorders>
              <w:top w:val="single" w:sz="4" w:space="0" w:color="000000"/>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Инсульт, неуточненный, как кровоизлияние или инфаркт</w:t>
            </w:r>
          </w:p>
        </w:tc>
      </w:tr>
      <w:tr w:rsidR="00ED7F17" w:rsidTr="00ED7F17">
        <w:trPr>
          <w:trHeight w:val="525"/>
        </w:trPr>
        <w:tc>
          <w:tcPr>
            <w:tcW w:w="2400" w:type="dxa"/>
            <w:vMerge/>
            <w:tcBorders>
              <w:top w:val="single" w:sz="4" w:space="0" w:color="000000"/>
              <w:left w:val="single" w:sz="4"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7484" w:type="dxa"/>
            <w:gridSpan w:val="11"/>
            <w:tcBorders>
              <w:top w:val="single" w:sz="4" w:space="0" w:color="000000"/>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Заболеваемость (взрослые - 18 лет и старше)</w:t>
            </w:r>
          </w:p>
        </w:tc>
      </w:tr>
      <w:tr w:rsidR="00ED7F17" w:rsidTr="00ED7F17">
        <w:trPr>
          <w:trHeight w:val="360"/>
        </w:trPr>
        <w:tc>
          <w:tcPr>
            <w:tcW w:w="2400" w:type="dxa"/>
            <w:vMerge/>
            <w:tcBorders>
              <w:top w:val="single" w:sz="4" w:space="0" w:color="000000"/>
              <w:left w:val="single" w:sz="4"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3729" w:type="dxa"/>
            <w:gridSpan w:val="5"/>
            <w:tcBorders>
              <w:top w:val="single" w:sz="4" w:space="0" w:color="000000"/>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Абсолютное количество</w:t>
            </w:r>
          </w:p>
        </w:tc>
        <w:tc>
          <w:tcPr>
            <w:tcW w:w="3755" w:type="dxa"/>
            <w:gridSpan w:val="6"/>
            <w:tcBorders>
              <w:top w:val="single" w:sz="4" w:space="0" w:color="000000"/>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на 1000 взрослого населения</w:t>
            </w:r>
          </w:p>
        </w:tc>
      </w:tr>
      <w:tr w:rsidR="00ED7F17" w:rsidTr="00ED7F17">
        <w:trPr>
          <w:trHeight w:val="525"/>
        </w:trPr>
        <w:tc>
          <w:tcPr>
            <w:tcW w:w="2400" w:type="dxa"/>
            <w:vMerge/>
            <w:tcBorders>
              <w:top w:val="single" w:sz="4" w:space="0" w:color="000000"/>
              <w:left w:val="single" w:sz="4"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2014</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2015</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2016</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2017</w:t>
            </w:r>
          </w:p>
        </w:tc>
        <w:tc>
          <w:tcPr>
            <w:tcW w:w="749"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2018</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2014</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2015</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2016</w:t>
            </w:r>
          </w:p>
        </w:tc>
        <w:tc>
          <w:tcPr>
            <w:tcW w:w="745" w:type="dxa"/>
            <w:tcBorders>
              <w:top w:val="nil"/>
              <w:left w:val="single" w:sz="4" w:space="0" w:color="000000"/>
              <w:bottom w:val="single" w:sz="4" w:space="0" w:color="000000"/>
              <w:right w:val="nil"/>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2017</w:t>
            </w:r>
          </w:p>
        </w:tc>
        <w:tc>
          <w:tcPr>
            <w:tcW w:w="775" w:type="dxa"/>
            <w:gridSpan w:val="2"/>
            <w:tcBorders>
              <w:top w:val="nil"/>
              <w:left w:val="single" w:sz="4" w:space="0" w:color="000000"/>
              <w:bottom w:val="single" w:sz="4" w:space="0" w:color="000000"/>
              <w:right w:val="single" w:sz="4" w:space="0" w:color="000000"/>
            </w:tcBorders>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2018</w:t>
            </w:r>
          </w:p>
        </w:tc>
      </w:tr>
      <w:tr w:rsidR="00ED7F17" w:rsidTr="00ED7F17">
        <w:trPr>
          <w:trHeight w:val="315"/>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Ахтубинский район</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0,2</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75"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Володарский район</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0,4</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75"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Енотаевский район</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0,05</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75"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45"/>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Икрянинский район</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33</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0,9</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75"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Камызякский район</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75"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60"/>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Красноярский район</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0,1</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75"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30"/>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Лиманский район</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24</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4</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0,2</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75"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405"/>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Наримановский район</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29</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0,8</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75"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Приволжский район</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14</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0,4</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75"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Харабалинский район</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0,3</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75"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Черноярский район</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3</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0,2</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75"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 xml:space="preserve">г. Знаменск </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0,04</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c>
          <w:tcPr>
            <w:tcW w:w="775"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0,0</w:t>
            </w:r>
          </w:p>
        </w:tc>
      </w:tr>
      <w:tr w:rsidR="00ED7F17" w:rsidTr="00ED7F17">
        <w:trPr>
          <w:trHeight w:val="315"/>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b/>
                <w:bCs/>
                <w:color w:val="000000"/>
                <w:sz w:val="20"/>
                <w:szCs w:val="20"/>
                <w:lang w:eastAsia="ru-RU"/>
              </w:rPr>
              <w:t>Свод по районам</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138</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4</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0,4</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0,01</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0,0</w:t>
            </w:r>
          </w:p>
        </w:tc>
        <w:tc>
          <w:tcPr>
            <w:tcW w:w="775"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0,0</w:t>
            </w:r>
          </w:p>
        </w:tc>
      </w:tr>
      <w:tr w:rsidR="00ED7F17" w:rsidTr="00ED7F17">
        <w:trPr>
          <w:trHeight w:val="405"/>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b/>
                <w:bCs/>
                <w:color w:val="000000"/>
                <w:sz w:val="20"/>
                <w:szCs w:val="20"/>
                <w:lang w:eastAsia="ru-RU"/>
              </w:rPr>
              <w:t xml:space="preserve"> г. Астрахань</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557</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3</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5</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1,3</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0,01</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0,01</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0,0</w:t>
            </w:r>
          </w:p>
        </w:tc>
        <w:tc>
          <w:tcPr>
            <w:tcW w:w="775"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0,0</w:t>
            </w:r>
          </w:p>
        </w:tc>
      </w:tr>
      <w:tr w:rsidR="00ED7F17" w:rsidTr="00ED7F17">
        <w:trPr>
          <w:trHeight w:val="315"/>
        </w:trPr>
        <w:tc>
          <w:tcPr>
            <w:tcW w:w="2400" w:type="dxa"/>
            <w:tcBorders>
              <w:top w:val="nil"/>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r>
              <w:rPr>
                <w:b/>
                <w:bCs/>
                <w:color w:val="000000"/>
                <w:sz w:val="20"/>
                <w:szCs w:val="20"/>
                <w:lang w:eastAsia="ru-RU"/>
              </w:rPr>
              <w:t>Астраханская область</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695</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7</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5</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w:t>
            </w:r>
          </w:p>
        </w:tc>
        <w:tc>
          <w:tcPr>
            <w:tcW w:w="749"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0,9</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0,01</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0,01</w:t>
            </w:r>
          </w:p>
        </w:tc>
        <w:tc>
          <w:tcPr>
            <w:tcW w:w="745" w:type="dxa"/>
            <w:tcBorders>
              <w:top w:val="nil"/>
              <w:left w:val="single" w:sz="4" w:space="0" w:color="000000"/>
              <w:bottom w:val="single" w:sz="4" w:space="0" w:color="000000"/>
              <w:right w:val="nil"/>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0,0</w:t>
            </w:r>
          </w:p>
        </w:tc>
        <w:tc>
          <w:tcPr>
            <w:tcW w:w="775" w:type="dxa"/>
            <w:gridSpan w:val="2"/>
            <w:tcBorders>
              <w:top w:val="nil"/>
              <w:left w:val="single" w:sz="4" w:space="0" w:color="000000"/>
              <w:bottom w:val="single" w:sz="4" w:space="0" w:color="000000"/>
              <w:right w:val="single" w:sz="4" w:space="0" w:color="000000"/>
            </w:tcBorders>
            <w:vAlign w:val="bottom"/>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0,0</w:t>
            </w:r>
          </w:p>
        </w:tc>
      </w:tr>
    </w:tbl>
    <w:p w:rsidR="00ED7F17" w:rsidRDefault="00ED7F17" w:rsidP="00ED7F17">
      <w:pPr>
        <w:pStyle w:val="2f"/>
        <w:spacing w:line="276" w:lineRule="auto"/>
        <w:ind w:left="0" w:firstLine="709"/>
        <w:jc w:val="both"/>
      </w:pPr>
    </w:p>
    <w:p w:rsidR="00ED7F17" w:rsidRDefault="00ED7F17" w:rsidP="00ED7F17">
      <w:pPr>
        <w:pStyle w:val="17"/>
        <w:spacing w:after="0" w:line="240" w:lineRule="auto"/>
        <w:ind w:left="0" w:firstLine="709"/>
        <w:jc w:val="both"/>
      </w:pPr>
      <w:r>
        <w:rPr>
          <w:rFonts w:ascii="Times New Roman" w:hAnsi="Times New Roman" w:cs="Times New Roman"/>
          <w:b/>
        </w:rPr>
        <w:t>1.4. Ресурсы инфраструктуры службы</w:t>
      </w:r>
    </w:p>
    <w:p w:rsidR="00ED7F17" w:rsidRDefault="00ED7F17" w:rsidP="00ED7F17">
      <w:pPr>
        <w:pStyle w:val="17"/>
        <w:spacing w:after="0" w:line="240" w:lineRule="auto"/>
        <w:ind w:left="0" w:firstLine="709"/>
        <w:jc w:val="both"/>
        <w:rPr>
          <w:rFonts w:ascii="Times New Roman" w:hAnsi="Times New Roman" w:cs="Times New Roman"/>
          <w:b/>
        </w:rPr>
      </w:pPr>
    </w:p>
    <w:p w:rsidR="00ED7F17" w:rsidRDefault="00ED7F17" w:rsidP="00ED7F17">
      <w:pPr>
        <w:ind w:firstLine="709"/>
        <w:jc w:val="both"/>
        <w:rPr>
          <w:rFonts w:ascii="Arial" w:hAnsi="Arial" w:cs="Arial"/>
        </w:rPr>
      </w:pPr>
      <w:r>
        <w:t xml:space="preserve">На территории Астраханской области для оказания медицинской помощи пациентам с острыми нарушениями кровообращения функционируют региональный сосудистый центр в ГБУЗ АО АМОКБ, первичные сосудистые отделения в ГБУЗ АО «Городская клиническая больница №3 им С.М. Кирова» (далее – ГБУЗ АО «ГКБ № 3»), ГБУЗ АО «Ахтубинская РБ», ФГБУ «ФЦССХ» Минздрава РФ (г. Астрахань). </w:t>
      </w:r>
      <w:r>
        <w:rPr>
          <w:rFonts w:eastAsia="Calibri"/>
          <w:iCs/>
        </w:rPr>
        <w:t xml:space="preserve">Учитывая рекомендации специалистов ФГБУ «НМИЦ кардиологии» Минздрава России во </w:t>
      </w:r>
      <w:r>
        <w:rPr>
          <w:rFonts w:eastAsia="Calibri"/>
          <w:iCs/>
          <w:lang w:val="en-US"/>
        </w:rPr>
        <w:t>II</w:t>
      </w:r>
      <w:r>
        <w:rPr>
          <w:rFonts w:eastAsia="Calibri"/>
          <w:iCs/>
        </w:rPr>
        <w:t xml:space="preserve"> квартале 2018 года открыты пять профильных кардиологических коек на базе ГБУЗ АО «Харабалинская РБ» и в апреле 2019 года открыты аналогичные койки на базе ГБУЗ АО «Енотаевская РБ». </w:t>
      </w:r>
    </w:p>
    <w:p w:rsidR="00ED7F17" w:rsidRDefault="00ED7F17" w:rsidP="00ED7F17">
      <w:pPr>
        <w:ind w:firstLine="709"/>
        <w:jc w:val="both"/>
      </w:pPr>
      <w:r>
        <w:t>Структура РСЦ на базе многопрофильного учреждения ГБУЗ АО АМОКБ:</w:t>
      </w:r>
    </w:p>
    <w:p w:rsidR="00ED7F17" w:rsidRDefault="00ED7F17" w:rsidP="00ED7F17">
      <w:pPr>
        <w:ind w:firstLine="709"/>
        <w:jc w:val="both"/>
      </w:pPr>
      <w:r>
        <w:t>- отделение кардиологии с ПИТ - 40 коек;</w:t>
      </w:r>
    </w:p>
    <w:p w:rsidR="00ED7F17" w:rsidRDefault="00ED7F17" w:rsidP="00ED7F17">
      <w:pPr>
        <w:ind w:firstLine="709"/>
        <w:jc w:val="both"/>
      </w:pPr>
      <w:r>
        <w:t>- отделение неврологии с БИТР - 40 коек;</w:t>
      </w:r>
    </w:p>
    <w:p w:rsidR="00ED7F17" w:rsidRDefault="00ED7F17" w:rsidP="00ED7F17">
      <w:pPr>
        <w:ind w:firstLine="709"/>
        <w:jc w:val="both"/>
      </w:pPr>
      <w:r>
        <w:t>- отделение РХМДЛ - 2 кабинета ангиографии;</w:t>
      </w:r>
    </w:p>
    <w:p w:rsidR="00ED7F17" w:rsidRDefault="00ED7F17" w:rsidP="00ED7F17">
      <w:pPr>
        <w:ind w:firstLine="709"/>
        <w:jc w:val="both"/>
      </w:pPr>
      <w:r>
        <w:t>- отделение сосудистой хирургии на функциональной основе - 10 коек для больных с гемодинамически значимыми стенозами БЦА и для плановых ангиографий;</w:t>
      </w:r>
    </w:p>
    <w:p w:rsidR="00ED7F17" w:rsidRDefault="00ED7F17" w:rsidP="00ED7F17">
      <w:pPr>
        <w:ind w:firstLine="709"/>
        <w:jc w:val="both"/>
      </w:pPr>
      <w:r>
        <w:t xml:space="preserve">- отделение нейрохирургии на функциональной основе 10 коек для больных геморрагическими инсультами. </w:t>
      </w:r>
    </w:p>
    <w:p w:rsidR="00ED7F17" w:rsidRDefault="00ED7F17" w:rsidP="00ED7F17">
      <w:pPr>
        <w:ind w:firstLine="709"/>
        <w:jc w:val="both"/>
      </w:pPr>
      <w:r>
        <w:t>Структура ПСО на базе ГБУЗ АО «Городская клиническая больница №3 им. С.М. Кирова»:</w:t>
      </w:r>
    </w:p>
    <w:p w:rsidR="00ED7F17" w:rsidRDefault="00ED7F17" w:rsidP="00ED7F17">
      <w:pPr>
        <w:ind w:firstLine="709"/>
        <w:jc w:val="both"/>
      </w:pPr>
      <w:r>
        <w:t>- отделение кардиологии с ПИТ – 57 коек;</w:t>
      </w:r>
    </w:p>
    <w:p w:rsidR="00ED7F17" w:rsidRDefault="00ED7F17" w:rsidP="00ED7F17">
      <w:pPr>
        <w:ind w:firstLine="709"/>
        <w:jc w:val="both"/>
      </w:pPr>
      <w:r>
        <w:t>- отделение неврологии с ПИТ - 70 коек;</w:t>
      </w:r>
    </w:p>
    <w:p w:rsidR="00ED7F17" w:rsidRDefault="00ED7F17" w:rsidP="00ED7F17">
      <w:pPr>
        <w:ind w:firstLine="709"/>
        <w:jc w:val="both"/>
      </w:pPr>
      <w:r>
        <w:t>- кабинет РХМДЛ (дооснащение дублирующей ангиографической установкой запланировано на 2023 год).</w:t>
      </w:r>
    </w:p>
    <w:p w:rsidR="00ED7F17" w:rsidRDefault="00ED7F17" w:rsidP="00ED7F17">
      <w:pPr>
        <w:ind w:firstLine="709"/>
        <w:jc w:val="both"/>
      </w:pPr>
      <w:r>
        <w:t xml:space="preserve">- отделение нейрохирургии на функциональной основе 5 коек для больных геморрагическими инсультами. </w:t>
      </w:r>
    </w:p>
    <w:p w:rsidR="00ED7F17" w:rsidRDefault="00ED7F17" w:rsidP="00ED7F17">
      <w:pPr>
        <w:ind w:firstLine="709"/>
        <w:jc w:val="both"/>
      </w:pPr>
      <w:r>
        <w:t>Структура ПСО на базе ГБУЗ АО «Ахтубинская районная больница»:</w:t>
      </w:r>
    </w:p>
    <w:p w:rsidR="00ED7F17" w:rsidRDefault="00ED7F17" w:rsidP="00ED7F17">
      <w:pPr>
        <w:ind w:firstLine="709"/>
        <w:jc w:val="both"/>
      </w:pPr>
      <w:r>
        <w:t>- кардиологические койки с ПИТ для больных с ОКС -9 коек;</w:t>
      </w:r>
    </w:p>
    <w:p w:rsidR="00ED7F17" w:rsidRDefault="00ED7F17" w:rsidP="00ED7F17">
      <w:pPr>
        <w:ind w:firstLine="709"/>
        <w:jc w:val="both"/>
      </w:pPr>
      <w:r>
        <w:t>- неврологические койки с ПИТ для больных с ОНМК- 11 коек.</w:t>
      </w:r>
    </w:p>
    <w:p w:rsidR="00ED7F17" w:rsidRDefault="00ED7F17" w:rsidP="00ED7F17">
      <w:pPr>
        <w:pStyle w:val="17"/>
        <w:numPr>
          <w:ilvl w:val="0"/>
          <w:numId w:val="6"/>
        </w:numPr>
        <w:spacing w:after="0" w:line="240" w:lineRule="auto"/>
        <w:ind w:firstLine="709"/>
        <w:jc w:val="both"/>
      </w:pPr>
      <w:r>
        <w:rPr>
          <w:rFonts w:ascii="Times New Roman" w:hAnsi="Times New Roman" w:cs="Times New Roman"/>
        </w:rPr>
        <w:t>Работа ПСО и РСЦ, в том числе тяжелой техники (КТ,0\МРТ, ангиографические установки), организована в режиме 24/7/365.</w:t>
      </w:r>
    </w:p>
    <w:p w:rsidR="00ED7F17" w:rsidRDefault="00ED7F17" w:rsidP="00ED7F17">
      <w:pPr>
        <w:ind w:firstLine="709"/>
        <w:jc w:val="both"/>
      </w:pPr>
      <w:r>
        <w:rPr>
          <w:rFonts w:eastAsia="Calibri"/>
          <w:iCs/>
        </w:rPr>
        <w:t>Вышеперечисленные учреждения оснащены в соответствии с приказами Министерства здравоохранения Российской Федерации от 15.11.2012 № 918н «Об утверждении порядка оказания медицинской помощи больным с сердечно-сосудистыми заболеваниями», от 15.11.2012 №928н «Об утверждении порядка оказания медицинской помощи больным с сердечно-сосудистыми заболеваниями», от 29.12.2012 №1705</w:t>
      </w:r>
      <w:r>
        <w:t xml:space="preserve"> «</w:t>
      </w:r>
      <w:r>
        <w:rPr>
          <w:rFonts w:eastAsia="Calibri"/>
          <w:iCs/>
        </w:rPr>
        <w:t>О Порядке организации медицинской реабилитации».</w:t>
      </w:r>
    </w:p>
    <w:p w:rsidR="00ED7F17" w:rsidRDefault="00ED7F17" w:rsidP="00ED7F17">
      <w:pPr>
        <w:jc w:val="center"/>
        <w:rPr>
          <w:rFonts w:eastAsia="Calibri"/>
          <w:iCs/>
        </w:rPr>
      </w:pPr>
    </w:p>
    <w:p w:rsidR="00ED7F17" w:rsidRDefault="00ED7F17" w:rsidP="00ED7F17">
      <w:pPr>
        <w:jc w:val="center"/>
        <w:rPr>
          <w:rFonts w:ascii="Arial" w:eastAsia="Arial" w:hAnsi="Arial" w:cs="Arial"/>
          <w:sz w:val="22"/>
          <w:szCs w:val="22"/>
        </w:rPr>
      </w:pPr>
      <w:r>
        <w:rPr>
          <w:rFonts w:eastAsia="Calibri"/>
          <w:b/>
          <w:iCs/>
        </w:rPr>
        <w:t>Оказание медицинской помощи населению Астраханской области</w:t>
      </w:r>
    </w:p>
    <w:p w:rsidR="00ED7F17" w:rsidRDefault="00ED7F17" w:rsidP="00ED7F17">
      <w:pPr>
        <w:jc w:val="center"/>
      </w:pPr>
      <w:r>
        <w:rPr>
          <w:rFonts w:eastAsia="Calibri"/>
          <w:b/>
          <w:iCs/>
        </w:rPr>
        <w:t>по профилю «кардиология»</w:t>
      </w:r>
    </w:p>
    <w:p w:rsidR="00ED7F17" w:rsidRDefault="00ED7F17" w:rsidP="00ED7F17">
      <w:pPr>
        <w:jc w:val="center"/>
        <w:rPr>
          <w:rFonts w:eastAsia="Calibri"/>
          <w:b/>
          <w:iCs/>
        </w:rPr>
      </w:pPr>
    </w:p>
    <w:p w:rsidR="00ED7F17" w:rsidRDefault="00ED7F17" w:rsidP="00ED7F17">
      <w:pPr>
        <w:ind w:firstLine="709"/>
        <w:jc w:val="both"/>
        <w:rPr>
          <w:rFonts w:ascii="Arial" w:eastAsia="Arial" w:hAnsi="Arial" w:cs="Arial"/>
          <w:sz w:val="22"/>
          <w:szCs w:val="22"/>
        </w:rPr>
      </w:pPr>
      <w:r>
        <w:rPr>
          <w:rFonts w:eastAsia="Calibri"/>
          <w:iCs/>
        </w:rPr>
        <w:t>Оказание гражданам медицинской помощи по профилю «кардиология» осуществляется в следующих медицинских организациях, подведомственных министерству здравоохранения Астраханской области:</w:t>
      </w:r>
    </w:p>
    <w:p w:rsidR="00ED7F17" w:rsidRDefault="00ED7F17" w:rsidP="00ED7F17">
      <w:pPr>
        <w:numPr>
          <w:ilvl w:val="1"/>
          <w:numId w:val="8"/>
        </w:numPr>
        <w:tabs>
          <w:tab w:val="left" w:pos="1276"/>
        </w:tabs>
        <w:overflowPunct/>
        <w:spacing w:line="276" w:lineRule="auto"/>
        <w:ind w:left="0" w:firstLine="709"/>
        <w:jc w:val="both"/>
      </w:pPr>
      <w:r>
        <w:rPr>
          <w:rFonts w:eastAsia="Calibri"/>
          <w:iCs/>
        </w:rPr>
        <w:t>Специализированная медицинская помощь в стационарных условиях:</w:t>
      </w:r>
    </w:p>
    <w:p w:rsidR="00ED7F17" w:rsidRDefault="00ED7F17" w:rsidP="00ED7F17">
      <w:pPr>
        <w:numPr>
          <w:ilvl w:val="2"/>
          <w:numId w:val="8"/>
        </w:numPr>
        <w:tabs>
          <w:tab w:val="left" w:pos="1276"/>
        </w:tabs>
        <w:overflowPunct/>
        <w:spacing w:line="276" w:lineRule="auto"/>
        <w:ind w:left="0" w:firstLine="709"/>
        <w:jc w:val="both"/>
      </w:pPr>
      <w:r>
        <w:rPr>
          <w:rFonts w:eastAsia="Calibri"/>
          <w:iCs/>
        </w:rPr>
        <w:t>Отделения неотложной кардиологии (РСЦ ГБУЗ АО «АМОКБ», ПСО и два отделения неотложной кардиологии ГБУЗ АО «ГКБ №3», ПСО ГБУЗ АО «Ахтубинской РБ»), с 01.07.2919 функционирует 5 коек неотложной кардиологии на базе ГБУЗ АО «Харабалинская РБ», с 01.12.2018 – 2 койки неотложной кардиологии на базе ГБУЗ АО «Енотаевская РБ» ;</w:t>
      </w:r>
    </w:p>
    <w:p w:rsidR="00ED7F17" w:rsidRDefault="00ED7F17" w:rsidP="00ED7F17">
      <w:pPr>
        <w:numPr>
          <w:ilvl w:val="2"/>
          <w:numId w:val="8"/>
        </w:numPr>
        <w:tabs>
          <w:tab w:val="left" w:pos="1276"/>
        </w:tabs>
        <w:overflowPunct/>
        <w:spacing w:line="276" w:lineRule="auto"/>
        <w:ind w:left="0" w:firstLine="709"/>
        <w:jc w:val="both"/>
      </w:pPr>
      <w:r>
        <w:rPr>
          <w:rFonts w:eastAsia="Calibri"/>
          <w:iCs/>
        </w:rPr>
        <w:t>Плановые кардиологические отделения (ГБУЗ АО «АМОКБ», ГБУЗ АО «Ахтубинская РБ»);</w:t>
      </w:r>
    </w:p>
    <w:p w:rsidR="00ED7F17" w:rsidRDefault="00ED7F17" w:rsidP="00ED7F17">
      <w:pPr>
        <w:tabs>
          <w:tab w:val="left" w:pos="1276"/>
        </w:tabs>
        <w:ind w:firstLine="709"/>
        <w:jc w:val="both"/>
      </w:pPr>
      <w:r>
        <w:rPr>
          <w:rFonts w:eastAsia="Calibri"/>
          <w:iCs/>
        </w:rPr>
        <w:t>1.2.</w:t>
      </w:r>
      <w:r>
        <w:rPr>
          <w:rFonts w:eastAsia="Calibri"/>
          <w:iCs/>
        </w:rPr>
        <w:tab/>
        <w:t>Специализированная медицинская помощь в условиях дневного стационара: ГБУЗ АО «АМОКБ», ГБУЗ АО «ГКБ №3», ГБУЗ АО «Ахтубинская РБ».</w:t>
      </w:r>
    </w:p>
    <w:p w:rsidR="00ED7F17" w:rsidRDefault="00ED7F17" w:rsidP="00ED7F17">
      <w:pPr>
        <w:ind w:firstLine="709"/>
        <w:jc w:val="both"/>
      </w:pPr>
      <w:r>
        <w:rPr>
          <w:rFonts w:eastAsia="Calibri"/>
          <w:iCs/>
        </w:rPr>
        <w:t>1.3. Первичная специализированная медико-санитарная помощь в амбулаторных условиях: ГБУЗ АО «Областной кардиологический диспансер», ГБУЗ АО «АМОКБ», кардиологические кабинеты  ГБУЗ АО «Лиманская РБ» - до сентября 2018г.,  ГБУЗ АО «Приволжская РБ»,  ГБУЗ АО «Енотаевская РБ»,  ГБУЗ АО «Володарская РБ», ГБУЗ АО «Харабалинская РБ», ГБУЗ АО «Икрянинская РБ», ГБУЗ АО «Ахтубинская РБ»,  ГБУЗ АО «ГБ ЗАТО Знаменск» с ноября 2018г.,  ГБУЗ АО «Красноярская РБ», ГБУЗ АО «Камызякская РБ»,  ГБУЗ АО «ГП №1», ГБУЗ АО «ГП №2»,  ГБУЗ АО «ГП №5»,  ГБУЗ АО «ГП № 8», ГБУЗ АО «ГП №10» - до октября 2018, АКБ №2 ЮОМЦ ФМБА.</w:t>
      </w:r>
    </w:p>
    <w:p w:rsidR="00ED7F17" w:rsidRDefault="00ED7F17" w:rsidP="00ED7F17">
      <w:pPr>
        <w:ind w:firstLine="709"/>
        <w:jc w:val="both"/>
      </w:pPr>
      <w:r>
        <w:rPr>
          <w:rFonts w:eastAsia="Calibri"/>
          <w:iCs/>
        </w:rPr>
        <w:t>В ГБУЗ АО «Наримановская РБ», медицинская помощь по указанному профилю не оказывалась в течение всего года из-за отсутствия специалиста. В ГБУЗ АО «Черноярская РБ» не оформлена лицензия на данный вид медицинской помощи.</w:t>
      </w:r>
    </w:p>
    <w:p w:rsidR="00ED7F17" w:rsidRDefault="00ED7F17" w:rsidP="00ED7F17">
      <w:pPr>
        <w:ind w:firstLine="709"/>
        <w:jc w:val="both"/>
      </w:pPr>
      <w:r>
        <w:rPr>
          <w:rFonts w:eastAsia="Calibri"/>
          <w:iCs/>
        </w:rPr>
        <w:t>Также медицинская помощь по профилю «кардиология» осуществляется в медицинских организациях иной формы собственности, участвующих в территориальной программе государственных гарантий бесплатного оказания медицинской помощи: ЧУЗ «МСЧ», НУЗ «Отделенческая больница ст. Астрахань-1 ОАО «РЖД» (медицинская реабилитация по профилю «кардиология»).</w:t>
      </w:r>
    </w:p>
    <w:p w:rsidR="00ED7F17" w:rsidRDefault="00ED7F17" w:rsidP="00ED7F17">
      <w:pPr>
        <w:ind w:firstLine="709"/>
        <w:jc w:val="both"/>
      </w:pPr>
      <w:r>
        <w:rPr>
          <w:rFonts w:eastAsia="Calibri"/>
          <w:iCs/>
        </w:rPr>
        <w:t xml:space="preserve">Учитывая рекомендации специалистов ФГБУ «НМИЦ кардиологии» Минздрава России в рамках визита в Астраханскую область заместителя министра здравоохранения Российской Федерации Т.В. Яковлевой, в 2018 году дополнительно организована работа коек неотложной кардиологии на базе ГБУЗ АО «Харабалинская РБ» и «Енотаевская РБ».   </w:t>
      </w:r>
    </w:p>
    <w:p w:rsidR="00ED7F17" w:rsidRDefault="00ED7F17" w:rsidP="00ED7F17">
      <w:pPr>
        <w:ind w:firstLine="709"/>
        <w:jc w:val="both"/>
      </w:pPr>
      <w:r>
        <w:rPr>
          <w:rFonts w:eastAsia="Cambria"/>
        </w:rPr>
        <w:t>В Астраханской области реализуются программы дистанционного наблюдения за состоянием здоровья пациентов. Во всех районах области используется транстелефонная передача ЭКГ с помощью аппаратов TREDEX с ФАПов в районные больницы.</w:t>
      </w:r>
      <w:r>
        <w:t xml:space="preserve"> </w:t>
      </w:r>
      <w:r>
        <w:rPr>
          <w:rFonts w:eastAsia="Cambria"/>
        </w:rPr>
        <w:t>В 2018 году было передано 9093 исследования. Дистанционная ЭКГ-диагностика в режиме «оn-line» позволяет проводить раннюю догоспитальную диагностику ОКС на уровне первичного звена здравоохранения в отдаленных районах области с передачей данных в РСЦ и ГБУЗ АО «Областной кардиологический диспансер» Задействовано в работе 187 ЭКГ аппаратов.</w:t>
      </w:r>
    </w:p>
    <w:p w:rsidR="00ED7F17" w:rsidRDefault="00ED7F17" w:rsidP="00ED7F17">
      <w:pPr>
        <w:ind w:firstLine="709"/>
        <w:jc w:val="both"/>
        <w:rPr>
          <w:rFonts w:eastAsia="Calibri"/>
          <w:b/>
          <w:iCs/>
        </w:rPr>
      </w:pPr>
    </w:p>
    <w:p w:rsidR="00ED7F17" w:rsidRDefault="00ED7F17" w:rsidP="00ED7F17">
      <w:pPr>
        <w:ind w:firstLine="709"/>
        <w:jc w:val="both"/>
        <w:rPr>
          <w:rFonts w:ascii="Arial" w:eastAsia="Arial" w:hAnsi="Arial" w:cs="Arial"/>
          <w:sz w:val="22"/>
          <w:szCs w:val="22"/>
        </w:rPr>
      </w:pPr>
      <w:r>
        <w:rPr>
          <w:rFonts w:eastAsia="Calibri"/>
          <w:b/>
          <w:iCs/>
          <w:sz w:val="20"/>
          <w:szCs w:val="20"/>
        </w:rPr>
        <w:t>Коечная мощность кардиологической службы</w:t>
      </w:r>
    </w:p>
    <w:p w:rsidR="00ED7F17" w:rsidRDefault="00ED7F17" w:rsidP="00ED7F17">
      <w:pPr>
        <w:ind w:firstLine="709"/>
        <w:jc w:val="both"/>
        <w:rPr>
          <w:rFonts w:eastAsia="Calibri"/>
          <w:b/>
          <w:iCs/>
        </w:rPr>
      </w:pPr>
      <w:r>
        <w:rPr>
          <w:noProof/>
          <w:lang w:eastAsia="ru-RU"/>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178435</wp:posOffset>
                </wp:positionV>
                <wp:extent cx="6028055" cy="768985"/>
                <wp:effectExtent l="0" t="4445" r="3810" b="0"/>
                <wp:wrapSquare wrapText="bothSides"/>
                <wp:docPr id="2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28055" cy="7689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4A0" w:firstRow="1" w:lastRow="0" w:firstColumn="1" w:lastColumn="0" w:noHBand="0" w:noVBand="1"/>
                            </w:tblPr>
                            <w:tblGrid>
                              <w:gridCol w:w="4666"/>
                              <w:gridCol w:w="2410"/>
                              <w:gridCol w:w="2440"/>
                            </w:tblGrid>
                            <w:tr w:rsidR="00ED7F17">
                              <w:trPr>
                                <w:trHeight w:val="423"/>
                              </w:trPr>
                              <w:tc>
                                <w:tcPr>
                                  <w:tcW w:w="4666" w:type="dxa"/>
                                  <w:tcBorders>
                                    <w:top w:val="single" w:sz="4" w:space="0" w:color="000000"/>
                                    <w:left w:val="single" w:sz="4" w:space="0" w:color="000000"/>
                                    <w:bottom w:val="single" w:sz="4" w:space="0" w:color="000000"/>
                                    <w:right w:val="nil"/>
                                  </w:tcBorders>
                                  <w:hideMark/>
                                </w:tcPr>
                                <w:p w:rsidR="00ED7F17" w:rsidRDefault="00ED7F17">
                                  <w:pPr>
                                    <w:snapToGrid w:val="0"/>
                                    <w:spacing w:line="276" w:lineRule="auto"/>
                                    <w:ind w:firstLine="709"/>
                                    <w:jc w:val="both"/>
                                    <w:rPr>
                                      <w:rFonts w:ascii="Arial" w:eastAsia="Arial" w:hAnsi="Arial" w:cs="Arial"/>
                                      <w:sz w:val="22"/>
                                      <w:szCs w:val="22"/>
                                    </w:rPr>
                                  </w:pPr>
                                  <w:r>
                                    <w:rPr>
                                      <w:rFonts w:eastAsia="Calibri"/>
                                      <w:iCs/>
                                      <w:sz w:val="20"/>
                                      <w:szCs w:val="20"/>
                                    </w:rPr>
                                    <w:t>Количество коек</w:t>
                                  </w:r>
                                </w:p>
                              </w:tc>
                              <w:tc>
                                <w:tcPr>
                                  <w:tcW w:w="2410" w:type="dxa"/>
                                  <w:tcBorders>
                                    <w:top w:val="single" w:sz="4" w:space="0" w:color="000000"/>
                                    <w:left w:val="single" w:sz="4" w:space="0" w:color="000000"/>
                                    <w:bottom w:val="single" w:sz="4" w:space="0" w:color="000000"/>
                                    <w:right w:val="nil"/>
                                  </w:tcBorders>
                                  <w:vAlign w:val="center"/>
                                  <w:hideMark/>
                                </w:tcPr>
                                <w:p w:rsidR="00ED7F17" w:rsidRDefault="00ED7F17">
                                  <w:pPr>
                                    <w:spacing w:line="276" w:lineRule="auto"/>
                                    <w:jc w:val="center"/>
                                    <w:rPr>
                                      <w:rFonts w:ascii="Arial" w:eastAsia="Arial" w:hAnsi="Arial" w:cs="Arial"/>
                                      <w:sz w:val="22"/>
                                      <w:szCs w:val="22"/>
                                    </w:rPr>
                                  </w:pPr>
                                  <w:r>
                                    <w:rPr>
                                      <w:rFonts w:eastAsia="Calibri"/>
                                      <w:iCs/>
                                      <w:sz w:val="20"/>
                                      <w:szCs w:val="20"/>
                                    </w:rPr>
                                    <w:t>2017год</w:t>
                                  </w:r>
                                </w:p>
                              </w:tc>
                              <w:tc>
                                <w:tcPr>
                                  <w:tcW w:w="2440" w:type="dxa"/>
                                  <w:tcBorders>
                                    <w:top w:val="single" w:sz="4" w:space="0" w:color="000000"/>
                                    <w:left w:val="single" w:sz="4" w:space="0" w:color="000000"/>
                                    <w:bottom w:val="single" w:sz="4" w:space="0" w:color="000000"/>
                                    <w:right w:val="single" w:sz="4" w:space="0" w:color="000000"/>
                                  </w:tcBorders>
                                  <w:vAlign w:val="center"/>
                                  <w:hideMark/>
                                </w:tcPr>
                                <w:p w:rsidR="00ED7F17" w:rsidRDefault="00ED7F17">
                                  <w:pPr>
                                    <w:spacing w:line="276" w:lineRule="auto"/>
                                    <w:jc w:val="center"/>
                                    <w:rPr>
                                      <w:rFonts w:ascii="Arial" w:eastAsia="Arial" w:hAnsi="Arial" w:cs="Arial"/>
                                      <w:sz w:val="22"/>
                                      <w:szCs w:val="22"/>
                                    </w:rPr>
                                  </w:pPr>
                                  <w:r>
                                    <w:rPr>
                                      <w:rFonts w:eastAsia="Calibri"/>
                                      <w:iCs/>
                                      <w:sz w:val="20"/>
                                      <w:szCs w:val="20"/>
                                    </w:rPr>
                                    <w:t>2018 год</w:t>
                                  </w:r>
                                </w:p>
                              </w:tc>
                            </w:tr>
                            <w:tr w:rsidR="00ED7F17">
                              <w:trPr>
                                <w:trHeight w:val="542"/>
                              </w:trPr>
                              <w:tc>
                                <w:tcPr>
                                  <w:tcW w:w="4666" w:type="dxa"/>
                                  <w:tcBorders>
                                    <w:top w:val="single" w:sz="4" w:space="0" w:color="000000"/>
                                    <w:left w:val="single" w:sz="4" w:space="0" w:color="000000"/>
                                    <w:bottom w:val="single" w:sz="4" w:space="0" w:color="000000"/>
                                    <w:right w:val="nil"/>
                                  </w:tcBorders>
                                  <w:vAlign w:val="center"/>
                                  <w:hideMark/>
                                </w:tcPr>
                                <w:p w:rsidR="00ED7F17" w:rsidRDefault="00ED7F17">
                                  <w:pPr>
                                    <w:spacing w:line="276" w:lineRule="auto"/>
                                    <w:rPr>
                                      <w:rFonts w:ascii="Arial" w:eastAsia="Arial" w:hAnsi="Arial" w:cs="Arial"/>
                                      <w:sz w:val="22"/>
                                      <w:szCs w:val="22"/>
                                    </w:rPr>
                                  </w:pPr>
                                  <w:r>
                                    <w:rPr>
                                      <w:rFonts w:eastAsia="Calibri"/>
                                      <w:iCs/>
                                      <w:sz w:val="20"/>
                                      <w:szCs w:val="20"/>
                                    </w:rPr>
                                    <w:t xml:space="preserve">Кардиологические койки </w:t>
                                  </w:r>
                                </w:p>
                              </w:tc>
                              <w:tc>
                                <w:tcPr>
                                  <w:tcW w:w="2410" w:type="dxa"/>
                                  <w:tcBorders>
                                    <w:top w:val="single" w:sz="4" w:space="0" w:color="000000"/>
                                    <w:left w:val="single" w:sz="4" w:space="0" w:color="000000"/>
                                    <w:bottom w:val="single" w:sz="4" w:space="0" w:color="000000"/>
                                    <w:right w:val="nil"/>
                                  </w:tcBorders>
                                  <w:vAlign w:val="center"/>
                                  <w:hideMark/>
                                </w:tcPr>
                                <w:p w:rsidR="00ED7F17" w:rsidRDefault="00ED7F17">
                                  <w:pPr>
                                    <w:spacing w:line="276" w:lineRule="auto"/>
                                    <w:jc w:val="center"/>
                                    <w:rPr>
                                      <w:rFonts w:ascii="Arial" w:eastAsia="Arial" w:hAnsi="Arial" w:cs="Arial"/>
                                      <w:sz w:val="22"/>
                                      <w:szCs w:val="22"/>
                                    </w:rPr>
                                  </w:pPr>
                                  <w:r>
                                    <w:rPr>
                                      <w:rFonts w:eastAsia="Calibri"/>
                                      <w:iCs/>
                                      <w:sz w:val="20"/>
                                      <w:szCs w:val="20"/>
                                    </w:rPr>
                                    <w:t>273</w:t>
                                  </w:r>
                                </w:p>
                              </w:tc>
                              <w:tc>
                                <w:tcPr>
                                  <w:tcW w:w="2440" w:type="dxa"/>
                                  <w:tcBorders>
                                    <w:top w:val="single" w:sz="4" w:space="0" w:color="000000"/>
                                    <w:left w:val="single" w:sz="4" w:space="0" w:color="000000"/>
                                    <w:bottom w:val="single" w:sz="4" w:space="0" w:color="000000"/>
                                    <w:right w:val="single" w:sz="4" w:space="0" w:color="000000"/>
                                  </w:tcBorders>
                                  <w:vAlign w:val="center"/>
                                  <w:hideMark/>
                                </w:tcPr>
                                <w:p w:rsidR="00ED7F17" w:rsidRDefault="00ED7F17">
                                  <w:pPr>
                                    <w:spacing w:line="276" w:lineRule="auto"/>
                                    <w:jc w:val="center"/>
                                    <w:rPr>
                                      <w:rFonts w:ascii="Arial" w:eastAsia="Arial" w:hAnsi="Arial" w:cs="Arial"/>
                                      <w:sz w:val="22"/>
                                      <w:szCs w:val="22"/>
                                    </w:rPr>
                                  </w:pPr>
                                  <w:r>
                                    <w:rPr>
                                      <w:rFonts w:eastAsia="Calibri"/>
                                      <w:iCs/>
                                      <w:sz w:val="20"/>
                                      <w:szCs w:val="20"/>
                                    </w:rPr>
                                    <w:t>334</w:t>
                                  </w:r>
                                </w:p>
                              </w:tc>
                            </w:tr>
                            <w:tr w:rsidR="00ED7F17">
                              <w:tc>
                                <w:tcPr>
                                  <w:tcW w:w="4666" w:type="dxa"/>
                                  <w:tcBorders>
                                    <w:top w:val="single" w:sz="4" w:space="0" w:color="000000"/>
                                    <w:left w:val="single" w:sz="4" w:space="0" w:color="000000"/>
                                    <w:bottom w:val="single" w:sz="4" w:space="0" w:color="000000"/>
                                    <w:right w:val="nil"/>
                                  </w:tcBorders>
                                  <w:vAlign w:val="center"/>
                                  <w:hideMark/>
                                </w:tcPr>
                                <w:p w:rsidR="00ED7F17" w:rsidRDefault="00ED7F17">
                                  <w:pPr>
                                    <w:spacing w:line="276" w:lineRule="auto"/>
                                    <w:rPr>
                                      <w:rFonts w:ascii="Arial" w:eastAsia="Arial" w:hAnsi="Arial" w:cs="Arial"/>
                                      <w:sz w:val="22"/>
                                      <w:szCs w:val="22"/>
                                    </w:rPr>
                                  </w:pPr>
                                  <w:r>
                                    <w:rPr>
                                      <w:rFonts w:eastAsia="Calibri"/>
                                      <w:iCs/>
                                      <w:sz w:val="20"/>
                                      <w:szCs w:val="20"/>
                                    </w:rPr>
                                    <w:t>Кардиохирургические койки</w:t>
                                  </w:r>
                                </w:p>
                              </w:tc>
                              <w:tc>
                                <w:tcPr>
                                  <w:tcW w:w="2410" w:type="dxa"/>
                                  <w:tcBorders>
                                    <w:top w:val="single" w:sz="4" w:space="0" w:color="000000"/>
                                    <w:left w:val="single" w:sz="4" w:space="0" w:color="000000"/>
                                    <w:bottom w:val="single" w:sz="4" w:space="0" w:color="000000"/>
                                    <w:right w:val="nil"/>
                                  </w:tcBorders>
                                  <w:vAlign w:val="center"/>
                                  <w:hideMark/>
                                </w:tcPr>
                                <w:p w:rsidR="00ED7F17" w:rsidRDefault="00ED7F17">
                                  <w:pPr>
                                    <w:spacing w:line="276" w:lineRule="auto"/>
                                    <w:jc w:val="center"/>
                                    <w:rPr>
                                      <w:rFonts w:ascii="Arial" w:eastAsia="Arial" w:hAnsi="Arial" w:cs="Arial"/>
                                      <w:sz w:val="22"/>
                                      <w:szCs w:val="22"/>
                                    </w:rPr>
                                  </w:pPr>
                                  <w:r>
                                    <w:rPr>
                                      <w:rFonts w:eastAsia="Calibri"/>
                                      <w:iCs/>
                                      <w:sz w:val="20"/>
                                      <w:szCs w:val="20"/>
                                    </w:rPr>
                                    <w:t>167</w:t>
                                  </w:r>
                                </w:p>
                              </w:tc>
                              <w:tc>
                                <w:tcPr>
                                  <w:tcW w:w="2440" w:type="dxa"/>
                                  <w:tcBorders>
                                    <w:top w:val="single" w:sz="4" w:space="0" w:color="000000"/>
                                    <w:left w:val="single" w:sz="4" w:space="0" w:color="000000"/>
                                    <w:bottom w:val="single" w:sz="4" w:space="0" w:color="000000"/>
                                    <w:right w:val="single" w:sz="4" w:space="0" w:color="000000"/>
                                  </w:tcBorders>
                                  <w:vAlign w:val="center"/>
                                  <w:hideMark/>
                                </w:tcPr>
                                <w:p w:rsidR="00ED7F17" w:rsidRDefault="00ED7F17">
                                  <w:pPr>
                                    <w:spacing w:line="276" w:lineRule="auto"/>
                                    <w:jc w:val="center"/>
                                    <w:rPr>
                                      <w:rFonts w:ascii="Arial" w:eastAsia="Arial" w:hAnsi="Arial" w:cs="Arial"/>
                                      <w:sz w:val="22"/>
                                      <w:szCs w:val="22"/>
                                    </w:rPr>
                                  </w:pPr>
                                  <w:r>
                                    <w:rPr>
                                      <w:rFonts w:eastAsia="Calibri"/>
                                      <w:iCs/>
                                      <w:sz w:val="20"/>
                                      <w:szCs w:val="20"/>
                                    </w:rPr>
                                    <w:t>167</w:t>
                                  </w:r>
                                </w:p>
                              </w:tc>
                            </w:tr>
                          </w:tbl>
                          <w:p w:rsidR="00ED7F17" w:rsidRDefault="00ED7F17" w:rsidP="00ED7F17">
                            <w:pPr>
                              <w:rPr>
                                <w:rFonts w:ascii="Arial" w:eastAsia="Arial" w:hAnsi="Arial" w:cs="Arial"/>
                                <w:sz w:val="22"/>
                                <w:szCs w:val="22"/>
                              </w:rPr>
                            </w:pPr>
                            <w:r>
                              <w:t xml:space="preserve"> </w:t>
                            </w:r>
                          </w:p>
                        </w:txbxContent>
                      </wps:txbx>
                      <wps:bodyPr rot="0" vert="horz" wrap="square" lIns="1270" tIns="1270" rIns="1270" bIns="127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left:0;text-align:left;margin-left:0;margin-top:14.05pt;width:474.65pt;height:60.55pt;z-index:25165926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" stroked="f">
                <v:textbox inset=".1pt,.1pt,.1pt,.1pt">
                  <w:txbxContent>
                    <w:tbl>
                      <w:tblPr>
                        <w:tblW w:w="0" w:type="auto"/>
                        <w:tblInd w:w="108" w:type="dxa"/>
                        <w:tblLayout w:type="fixed"/>
                        <w:tblLook w:val="04A0" w:firstRow="1" w:lastRow="0" w:firstColumn="1" w:lastColumn="0" w:noHBand="0" w:noVBand="1"/>
                      </w:tblPr>
                      <w:tblGrid>
                        <w:gridCol w:w="4666"/>
                        <w:gridCol w:w="2410"/>
                        <w:gridCol w:w="2440"/>
                      </w:tblGrid>
                      <w:tr w:rsidR="00ED7F17">
                        <w:trPr>
                          <w:trHeight w:val="423"/>
                        </w:trPr>
                        <w:tc>
                          <w:tcPr>
                            <w:tcW w:w="4666" w:type="dxa"/>
                            <w:tcBorders>
                              <w:top w:val="single" w:sz="4" w:space="0" w:color="000000"/>
                              <w:left w:val="single" w:sz="4" w:space="0" w:color="000000"/>
                              <w:bottom w:val="single" w:sz="4" w:space="0" w:color="000000"/>
                              <w:right w:val="nil"/>
                            </w:tcBorders>
                            <w:hideMark/>
                          </w:tcPr>
                          <w:p w:rsidR="00ED7F17" w:rsidRDefault="00ED7F17">
                            <w:pPr>
                              <w:snapToGrid w:val="0"/>
                              <w:spacing w:line="276" w:lineRule="auto"/>
                              <w:ind w:firstLine="709"/>
                              <w:jc w:val="both"/>
                              <w:rPr>
                                <w:rFonts w:ascii="Arial" w:eastAsia="Arial" w:hAnsi="Arial" w:cs="Arial"/>
                                <w:sz w:val="22"/>
                                <w:szCs w:val="22"/>
                              </w:rPr>
                            </w:pPr>
                            <w:r>
                              <w:rPr>
                                <w:rFonts w:eastAsia="Calibri"/>
                                <w:iCs/>
                                <w:sz w:val="20"/>
                                <w:szCs w:val="20"/>
                              </w:rPr>
                              <w:t>Количество коек</w:t>
                            </w:r>
                          </w:p>
                        </w:tc>
                        <w:tc>
                          <w:tcPr>
                            <w:tcW w:w="2410" w:type="dxa"/>
                            <w:tcBorders>
                              <w:top w:val="single" w:sz="4" w:space="0" w:color="000000"/>
                              <w:left w:val="single" w:sz="4" w:space="0" w:color="000000"/>
                              <w:bottom w:val="single" w:sz="4" w:space="0" w:color="000000"/>
                              <w:right w:val="nil"/>
                            </w:tcBorders>
                            <w:vAlign w:val="center"/>
                            <w:hideMark/>
                          </w:tcPr>
                          <w:p w:rsidR="00ED7F17" w:rsidRDefault="00ED7F17">
                            <w:pPr>
                              <w:spacing w:line="276" w:lineRule="auto"/>
                              <w:jc w:val="center"/>
                              <w:rPr>
                                <w:rFonts w:ascii="Arial" w:eastAsia="Arial" w:hAnsi="Arial" w:cs="Arial"/>
                                <w:sz w:val="22"/>
                                <w:szCs w:val="22"/>
                              </w:rPr>
                            </w:pPr>
                            <w:r>
                              <w:rPr>
                                <w:rFonts w:eastAsia="Calibri"/>
                                <w:iCs/>
                                <w:sz w:val="20"/>
                                <w:szCs w:val="20"/>
                              </w:rPr>
                              <w:t>2017год</w:t>
                            </w:r>
                          </w:p>
                        </w:tc>
                        <w:tc>
                          <w:tcPr>
                            <w:tcW w:w="2440" w:type="dxa"/>
                            <w:tcBorders>
                              <w:top w:val="single" w:sz="4" w:space="0" w:color="000000"/>
                              <w:left w:val="single" w:sz="4" w:space="0" w:color="000000"/>
                              <w:bottom w:val="single" w:sz="4" w:space="0" w:color="000000"/>
                              <w:right w:val="single" w:sz="4" w:space="0" w:color="000000"/>
                            </w:tcBorders>
                            <w:vAlign w:val="center"/>
                            <w:hideMark/>
                          </w:tcPr>
                          <w:p w:rsidR="00ED7F17" w:rsidRDefault="00ED7F17">
                            <w:pPr>
                              <w:spacing w:line="276" w:lineRule="auto"/>
                              <w:jc w:val="center"/>
                              <w:rPr>
                                <w:rFonts w:ascii="Arial" w:eastAsia="Arial" w:hAnsi="Arial" w:cs="Arial"/>
                                <w:sz w:val="22"/>
                                <w:szCs w:val="22"/>
                              </w:rPr>
                            </w:pPr>
                            <w:r>
                              <w:rPr>
                                <w:rFonts w:eastAsia="Calibri"/>
                                <w:iCs/>
                                <w:sz w:val="20"/>
                                <w:szCs w:val="20"/>
                              </w:rPr>
                              <w:t>2018 год</w:t>
                            </w:r>
                          </w:p>
                        </w:tc>
                      </w:tr>
                      <w:tr w:rsidR="00ED7F17">
                        <w:trPr>
                          <w:trHeight w:val="542"/>
                        </w:trPr>
                        <w:tc>
                          <w:tcPr>
                            <w:tcW w:w="4666" w:type="dxa"/>
                            <w:tcBorders>
                              <w:top w:val="single" w:sz="4" w:space="0" w:color="000000"/>
                              <w:left w:val="single" w:sz="4" w:space="0" w:color="000000"/>
                              <w:bottom w:val="single" w:sz="4" w:space="0" w:color="000000"/>
                              <w:right w:val="nil"/>
                            </w:tcBorders>
                            <w:vAlign w:val="center"/>
                            <w:hideMark/>
                          </w:tcPr>
                          <w:p w:rsidR="00ED7F17" w:rsidRDefault="00ED7F17">
                            <w:pPr>
                              <w:spacing w:line="276" w:lineRule="auto"/>
                              <w:rPr>
                                <w:rFonts w:ascii="Arial" w:eastAsia="Arial" w:hAnsi="Arial" w:cs="Arial"/>
                                <w:sz w:val="22"/>
                                <w:szCs w:val="22"/>
                              </w:rPr>
                            </w:pPr>
                            <w:r>
                              <w:rPr>
                                <w:rFonts w:eastAsia="Calibri"/>
                                <w:iCs/>
                                <w:sz w:val="20"/>
                                <w:szCs w:val="20"/>
                              </w:rPr>
                              <w:t xml:space="preserve">Кардиологические койки </w:t>
                            </w:r>
                          </w:p>
                        </w:tc>
                        <w:tc>
                          <w:tcPr>
                            <w:tcW w:w="2410" w:type="dxa"/>
                            <w:tcBorders>
                              <w:top w:val="single" w:sz="4" w:space="0" w:color="000000"/>
                              <w:left w:val="single" w:sz="4" w:space="0" w:color="000000"/>
                              <w:bottom w:val="single" w:sz="4" w:space="0" w:color="000000"/>
                              <w:right w:val="nil"/>
                            </w:tcBorders>
                            <w:vAlign w:val="center"/>
                            <w:hideMark/>
                          </w:tcPr>
                          <w:p w:rsidR="00ED7F17" w:rsidRDefault="00ED7F17">
                            <w:pPr>
                              <w:spacing w:line="276" w:lineRule="auto"/>
                              <w:jc w:val="center"/>
                              <w:rPr>
                                <w:rFonts w:ascii="Arial" w:eastAsia="Arial" w:hAnsi="Arial" w:cs="Arial"/>
                                <w:sz w:val="22"/>
                                <w:szCs w:val="22"/>
                              </w:rPr>
                            </w:pPr>
                            <w:r>
                              <w:rPr>
                                <w:rFonts w:eastAsia="Calibri"/>
                                <w:iCs/>
                                <w:sz w:val="20"/>
                                <w:szCs w:val="20"/>
                              </w:rPr>
                              <w:t>273</w:t>
                            </w:r>
                          </w:p>
                        </w:tc>
                        <w:tc>
                          <w:tcPr>
                            <w:tcW w:w="2440" w:type="dxa"/>
                            <w:tcBorders>
                              <w:top w:val="single" w:sz="4" w:space="0" w:color="000000"/>
                              <w:left w:val="single" w:sz="4" w:space="0" w:color="000000"/>
                              <w:bottom w:val="single" w:sz="4" w:space="0" w:color="000000"/>
                              <w:right w:val="single" w:sz="4" w:space="0" w:color="000000"/>
                            </w:tcBorders>
                            <w:vAlign w:val="center"/>
                            <w:hideMark/>
                          </w:tcPr>
                          <w:p w:rsidR="00ED7F17" w:rsidRDefault="00ED7F17">
                            <w:pPr>
                              <w:spacing w:line="276" w:lineRule="auto"/>
                              <w:jc w:val="center"/>
                              <w:rPr>
                                <w:rFonts w:ascii="Arial" w:eastAsia="Arial" w:hAnsi="Arial" w:cs="Arial"/>
                                <w:sz w:val="22"/>
                                <w:szCs w:val="22"/>
                              </w:rPr>
                            </w:pPr>
                            <w:r>
                              <w:rPr>
                                <w:rFonts w:eastAsia="Calibri"/>
                                <w:iCs/>
                                <w:sz w:val="20"/>
                                <w:szCs w:val="20"/>
                              </w:rPr>
                              <w:t>334</w:t>
                            </w:r>
                          </w:p>
                        </w:tc>
                      </w:tr>
                      <w:tr w:rsidR="00ED7F17">
                        <w:tc>
                          <w:tcPr>
                            <w:tcW w:w="4666" w:type="dxa"/>
                            <w:tcBorders>
                              <w:top w:val="single" w:sz="4" w:space="0" w:color="000000"/>
                              <w:left w:val="single" w:sz="4" w:space="0" w:color="000000"/>
                              <w:bottom w:val="single" w:sz="4" w:space="0" w:color="000000"/>
                              <w:right w:val="nil"/>
                            </w:tcBorders>
                            <w:vAlign w:val="center"/>
                            <w:hideMark/>
                          </w:tcPr>
                          <w:p w:rsidR="00ED7F17" w:rsidRDefault="00ED7F17">
                            <w:pPr>
                              <w:spacing w:line="276" w:lineRule="auto"/>
                              <w:rPr>
                                <w:rFonts w:ascii="Arial" w:eastAsia="Arial" w:hAnsi="Arial" w:cs="Arial"/>
                                <w:sz w:val="22"/>
                                <w:szCs w:val="22"/>
                              </w:rPr>
                            </w:pPr>
                            <w:r>
                              <w:rPr>
                                <w:rFonts w:eastAsia="Calibri"/>
                                <w:iCs/>
                                <w:sz w:val="20"/>
                                <w:szCs w:val="20"/>
                              </w:rPr>
                              <w:t>Кардиохирургические койки</w:t>
                            </w:r>
                          </w:p>
                        </w:tc>
                        <w:tc>
                          <w:tcPr>
                            <w:tcW w:w="2410" w:type="dxa"/>
                            <w:tcBorders>
                              <w:top w:val="single" w:sz="4" w:space="0" w:color="000000"/>
                              <w:left w:val="single" w:sz="4" w:space="0" w:color="000000"/>
                              <w:bottom w:val="single" w:sz="4" w:space="0" w:color="000000"/>
                              <w:right w:val="nil"/>
                            </w:tcBorders>
                            <w:vAlign w:val="center"/>
                            <w:hideMark/>
                          </w:tcPr>
                          <w:p w:rsidR="00ED7F17" w:rsidRDefault="00ED7F17">
                            <w:pPr>
                              <w:spacing w:line="276" w:lineRule="auto"/>
                              <w:jc w:val="center"/>
                              <w:rPr>
                                <w:rFonts w:ascii="Arial" w:eastAsia="Arial" w:hAnsi="Arial" w:cs="Arial"/>
                                <w:sz w:val="22"/>
                                <w:szCs w:val="22"/>
                              </w:rPr>
                            </w:pPr>
                            <w:r>
                              <w:rPr>
                                <w:rFonts w:eastAsia="Calibri"/>
                                <w:iCs/>
                                <w:sz w:val="20"/>
                                <w:szCs w:val="20"/>
                              </w:rPr>
                              <w:t>167</w:t>
                            </w:r>
                          </w:p>
                        </w:tc>
                        <w:tc>
                          <w:tcPr>
                            <w:tcW w:w="2440" w:type="dxa"/>
                            <w:tcBorders>
                              <w:top w:val="single" w:sz="4" w:space="0" w:color="000000"/>
                              <w:left w:val="single" w:sz="4" w:space="0" w:color="000000"/>
                              <w:bottom w:val="single" w:sz="4" w:space="0" w:color="000000"/>
                              <w:right w:val="single" w:sz="4" w:space="0" w:color="000000"/>
                            </w:tcBorders>
                            <w:vAlign w:val="center"/>
                            <w:hideMark/>
                          </w:tcPr>
                          <w:p w:rsidR="00ED7F17" w:rsidRDefault="00ED7F17">
                            <w:pPr>
                              <w:spacing w:line="276" w:lineRule="auto"/>
                              <w:jc w:val="center"/>
                              <w:rPr>
                                <w:rFonts w:ascii="Arial" w:eastAsia="Arial" w:hAnsi="Arial" w:cs="Arial"/>
                                <w:sz w:val="22"/>
                                <w:szCs w:val="22"/>
                              </w:rPr>
                            </w:pPr>
                            <w:r>
                              <w:rPr>
                                <w:rFonts w:eastAsia="Calibri"/>
                                <w:iCs/>
                                <w:sz w:val="20"/>
                                <w:szCs w:val="20"/>
                              </w:rPr>
                              <w:t>167</w:t>
                            </w:r>
                          </w:p>
                        </w:tc>
                      </w:tr>
                    </w:tbl>
                    <w:p w:rsidR="00ED7F17" w:rsidRDefault="00ED7F17" w:rsidP="00ED7F17">
                      <w:pPr>
                        <w:rPr>
                          <w:rFonts w:ascii="Arial" w:eastAsia="Arial" w:hAnsi="Arial" w:cs="Arial"/>
                          <w:sz w:val="22"/>
                          <w:szCs w:val="22"/>
                        </w:rPr>
                      </w:pPr>
                      <w:r>
                        <w:t xml:space="preserve"> </w:t>
                      </w:r>
                    </w:p>
                  </w:txbxContent>
                </v:textbox>
                <w10:wrap type="square" anchorx="margin"/>
              </v:shape>
            </w:pict>
          </mc:Fallback>
        </mc:AlternateContent>
      </w:r>
    </w:p>
    <w:p w:rsidR="00ED7F17" w:rsidRDefault="00ED7F17" w:rsidP="00ED7F17">
      <w:pPr>
        <w:ind w:firstLine="709"/>
        <w:jc w:val="both"/>
        <w:rPr>
          <w:rFonts w:eastAsia="Calibri"/>
          <w:b/>
          <w:iCs/>
        </w:rPr>
      </w:pPr>
    </w:p>
    <w:p w:rsidR="00ED7F17" w:rsidRDefault="00ED7F17" w:rsidP="00ED7F17">
      <w:pPr>
        <w:ind w:firstLine="709"/>
        <w:jc w:val="both"/>
        <w:rPr>
          <w:rFonts w:eastAsia="Calibri"/>
          <w:b/>
          <w:iCs/>
        </w:rPr>
      </w:pPr>
    </w:p>
    <w:tbl>
      <w:tblPr>
        <w:tblW w:w="0" w:type="auto"/>
        <w:tblInd w:w="-138" w:type="dxa"/>
        <w:tblLayout w:type="fixed"/>
        <w:tblCellMar>
          <w:left w:w="0" w:type="dxa"/>
          <w:right w:w="0" w:type="dxa"/>
        </w:tblCellMar>
        <w:tblLook w:val="04A0" w:firstRow="1" w:lastRow="0" w:firstColumn="1" w:lastColumn="0" w:noHBand="0" w:noVBand="1"/>
      </w:tblPr>
      <w:tblGrid>
        <w:gridCol w:w="1718"/>
        <w:gridCol w:w="2629"/>
        <w:gridCol w:w="2631"/>
        <w:gridCol w:w="706"/>
        <w:gridCol w:w="805"/>
        <w:gridCol w:w="686"/>
        <w:gridCol w:w="716"/>
        <w:gridCol w:w="60"/>
      </w:tblGrid>
      <w:tr w:rsidR="00ED7F17" w:rsidTr="00ED7F17">
        <w:trPr>
          <w:trHeight w:val="780"/>
        </w:trPr>
        <w:tc>
          <w:tcPr>
            <w:tcW w:w="9891" w:type="dxa"/>
            <w:gridSpan w:val="7"/>
            <w:vAlign w:val="center"/>
          </w:tcPr>
          <w:p w:rsidR="00ED7F17" w:rsidRDefault="00ED7F17">
            <w:pPr>
              <w:suppressAutoHyphens w:val="0"/>
              <w:jc w:val="center"/>
              <w:rPr>
                <w:rFonts w:ascii="Arial" w:eastAsia="Arial" w:hAnsi="Arial" w:cs="Arial"/>
                <w:sz w:val="22"/>
                <w:szCs w:val="22"/>
              </w:rPr>
            </w:pPr>
            <w:r>
              <w:rPr>
                <w:b/>
                <w:bCs/>
                <w:color w:val="000000"/>
                <w:sz w:val="20"/>
                <w:szCs w:val="20"/>
                <w:lang w:eastAsia="ru-RU"/>
              </w:rPr>
              <w:t>Информация о количестве и деятельности коек кардиологического профиля в медицинских организация</w:t>
            </w:r>
          </w:p>
          <w:p w:rsidR="00ED7F17" w:rsidRDefault="00ED7F17">
            <w:pPr>
              <w:suppressAutoHyphens w:val="0"/>
              <w:jc w:val="center"/>
              <w:rPr>
                <w:b/>
                <w:bCs/>
                <w:color w:val="000000"/>
                <w:sz w:val="20"/>
                <w:szCs w:val="20"/>
                <w:lang w:eastAsia="ru-RU"/>
              </w:rPr>
            </w:pPr>
          </w:p>
          <w:p w:rsidR="00ED7F17" w:rsidRDefault="00ED7F17">
            <w:pPr>
              <w:suppressAutoHyphens w:val="0"/>
              <w:jc w:val="center"/>
              <w:rPr>
                <w:rFonts w:ascii="Arial" w:eastAsia="Arial" w:hAnsi="Arial" w:cs="Arial"/>
                <w:sz w:val="22"/>
                <w:szCs w:val="22"/>
              </w:rPr>
            </w:pPr>
            <w:r>
              <w:rPr>
                <w:b/>
                <w:bCs/>
                <w:color w:val="000000"/>
                <w:sz w:val="20"/>
                <w:szCs w:val="20"/>
                <w:lang w:eastAsia="ru-RU"/>
              </w:rPr>
              <w:t xml:space="preserve">х Астраханской области </w:t>
            </w:r>
          </w:p>
        </w:tc>
        <w:tc>
          <w:tcPr>
            <w:tcW w:w="60" w:type="dxa"/>
          </w:tcPr>
          <w:p w:rsidR="00ED7F17" w:rsidRDefault="00ED7F17">
            <w:pPr>
              <w:snapToGrid w:val="0"/>
              <w:spacing w:line="276" w:lineRule="auto"/>
              <w:rPr>
                <w:color w:val="000000"/>
                <w:sz w:val="20"/>
                <w:szCs w:val="20"/>
                <w:lang w:eastAsia="ru-RU"/>
              </w:rPr>
            </w:pPr>
          </w:p>
        </w:tc>
      </w:tr>
      <w:tr w:rsidR="00ED7F17" w:rsidTr="00ED7F17">
        <w:trPr>
          <w:trHeight w:val="960"/>
        </w:trPr>
        <w:tc>
          <w:tcPr>
            <w:tcW w:w="1718" w:type="dxa"/>
            <w:vMerge w:val="restart"/>
            <w:tcBorders>
              <w:top w:val="single" w:sz="8" w:space="0" w:color="000000"/>
              <w:left w:val="single" w:sz="8"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Наименование медицинской организации</w:t>
            </w:r>
          </w:p>
        </w:tc>
        <w:tc>
          <w:tcPr>
            <w:tcW w:w="5260" w:type="dxa"/>
            <w:gridSpan w:val="2"/>
            <w:tcBorders>
              <w:top w:val="single" w:sz="8" w:space="0" w:color="000000"/>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Количество коек</w:t>
            </w:r>
          </w:p>
        </w:tc>
        <w:tc>
          <w:tcPr>
            <w:tcW w:w="1511" w:type="dxa"/>
            <w:gridSpan w:val="2"/>
            <w:tcBorders>
              <w:top w:val="single" w:sz="8" w:space="0" w:color="000000"/>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обеспеченность на 10 тыс. населения</w:t>
            </w:r>
          </w:p>
        </w:tc>
        <w:tc>
          <w:tcPr>
            <w:tcW w:w="1462" w:type="dxa"/>
            <w:gridSpan w:val="3"/>
            <w:tcBorders>
              <w:top w:val="single" w:sz="8" w:space="0" w:color="000000"/>
              <w:left w:val="single" w:sz="4" w:space="0" w:color="000000"/>
              <w:bottom w:val="single" w:sz="4" w:space="0" w:color="000000"/>
              <w:right w:val="single" w:sz="8" w:space="0" w:color="000000"/>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занятость койки (норматив -                 336 дней)</w:t>
            </w:r>
          </w:p>
        </w:tc>
      </w:tr>
      <w:tr w:rsidR="00ED7F17" w:rsidTr="00ED7F17">
        <w:trPr>
          <w:trHeight w:val="690"/>
        </w:trPr>
        <w:tc>
          <w:tcPr>
            <w:tcW w:w="9891" w:type="dxa"/>
            <w:vMerge/>
            <w:tcBorders>
              <w:top w:val="single" w:sz="8" w:space="0" w:color="000000"/>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2629"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2018</w:t>
            </w:r>
          </w:p>
        </w:tc>
        <w:tc>
          <w:tcPr>
            <w:tcW w:w="2631"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I кв. 2019</w:t>
            </w:r>
          </w:p>
        </w:tc>
        <w:tc>
          <w:tcPr>
            <w:tcW w:w="706"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2018</w:t>
            </w:r>
          </w:p>
        </w:tc>
        <w:tc>
          <w:tcPr>
            <w:tcW w:w="805"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I кв. 2019</w:t>
            </w:r>
          </w:p>
        </w:tc>
        <w:tc>
          <w:tcPr>
            <w:tcW w:w="686"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2018</w:t>
            </w:r>
          </w:p>
        </w:tc>
        <w:tc>
          <w:tcPr>
            <w:tcW w:w="776" w:type="dxa"/>
            <w:gridSpan w:val="2"/>
            <w:tcBorders>
              <w:top w:val="nil"/>
              <w:left w:val="single" w:sz="4" w:space="0" w:color="000000"/>
              <w:bottom w:val="single" w:sz="4" w:space="0" w:color="000000"/>
              <w:right w:val="single" w:sz="8" w:space="0" w:color="000000"/>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I кв. 2019</w:t>
            </w:r>
          </w:p>
        </w:tc>
      </w:tr>
      <w:tr w:rsidR="00ED7F17" w:rsidTr="00ED7F17">
        <w:trPr>
          <w:trHeight w:val="855"/>
        </w:trPr>
        <w:tc>
          <w:tcPr>
            <w:tcW w:w="1718" w:type="dxa"/>
            <w:tcBorders>
              <w:top w:val="nil"/>
              <w:left w:val="single" w:sz="8"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Астраханская область</w:t>
            </w:r>
          </w:p>
        </w:tc>
        <w:tc>
          <w:tcPr>
            <w:tcW w:w="2629"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315 (из них: для б-х с острым инфарктом миокарда -90; интенсивной терапии - 24)</w:t>
            </w:r>
          </w:p>
        </w:tc>
        <w:tc>
          <w:tcPr>
            <w:tcW w:w="2631"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297 (из них:</w:t>
            </w:r>
          </w:p>
          <w:p w:rsidR="00ED7F17" w:rsidRDefault="00ED7F17">
            <w:pPr>
              <w:suppressAutoHyphens w:val="0"/>
              <w:jc w:val="center"/>
              <w:rPr>
                <w:rFonts w:ascii="Arial" w:eastAsia="Arial" w:hAnsi="Arial" w:cs="Arial"/>
                <w:sz w:val="22"/>
                <w:szCs w:val="22"/>
              </w:rPr>
            </w:pPr>
            <w:r>
              <w:rPr>
                <w:color w:val="000000"/>
                <w:sz w:val="20"/>
                <w:szCs w:val="20"/>
                <w:lang w:eastAsia="ru-RU"/>
              </w:rPr>
              <w:t>для б-х с острым инфарктом миокарда -83; интенсивной терапии - 22)</w:t>
            </w:r>
          </w:p>
        </w:tc>
        <w:tc>
          <w:tcPr>
            <w:tcW w:w="706"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3,09</w:t>
            </w:r>
          </w:p>
        </w:tc>
        <w:tc>
          <w:tcPr>
            <w:tcW w:w="805"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2,91</w:t>
            </w:r>
          </w:p>
        </w:tc>
        <w:tc>
          <w:tcPr>
            <w:tcW w:w="686"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331,1</w:t>
            </w:r>
          </w:p>
        </w:tc>
        <w:tc>
          <w:tcPr>
            <w:tcW w:w="776" w:type="dxa"/>
            <w:gridSpan w:val="2"/>
            <w:tcBorders>
              <w:top w:val="nil"/>
              <w:left w:val="single" w:sz="4" w:space="0" w:color="000000"/>
              <w:bottom w:val="single" w:sz="4" w:space="0" w:color="000000"/>
              <w:right w:val="single" w:sz="8" w:space="0" w:color="000000"/>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326,8</w:t>
            </w:r>
          </w:p>
        </w:tc>
      </w:tr>
      <w:tr w:rsidR="00ED7F17" w:rsidTr="00ED7F17">
        <w:trPr>
          <w:trHeight w:val="1260"/>
        </w:trPr>
        <w:tc>
          <w:tcPr>
            <w:tcW w:w="1718" w:type="dxa"/>
            <w:tcBorders>
              <w:top w:val="nil"/>
              <w:left w:val="single" w:sz="8"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ГБУЗ АО АМОКБ</w:t>
            </w:r>
          </w:p>
        </w:tc>
        <w:tc>
          <w:tcPr>
            <w:tcW w:w="2629"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87 (из них: для б-х с острым инфарктом миокарда -34; интенсивной терапии - 6)</w:t>
            </w:r>
          </w:p>
        </w:tc>
        <w:tc>
          <w:tcPr>
            <w:tcW w:w="2631"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84 (из них: для б-х с острым инфарктом миокарда -33; интенсивной терапии - 6)</w:t>
            </w:r>
          </w:p>
        </w:tc>
        <w:tc>
          <w:tcPr>
            <w:tcW w:w="706"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w:t>
            </w:r>
          </w:p>
        </w:tc>
        <w:tc>
          <w:tcPr>
            <w:tcW w:w="805"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w:t>
            </w:r>
          </w:p>
        </w:tc>
        <w:tc>
          <w:tcPr>
            <w:tcW w:w="686"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328,2</w:t>
            </w:r>
          </w:p>
        </w:tc>
        <w:tc>
          <w:tcPr>
            <w:tcW w:w="776" w:type="dxa"/>
            <w:gridSpan w:val="2"/>
            <w:tcBorders>
              <w:top w:val="nil"/>
              <w:left w:val="single" w:sz="4" w:space="0" w:color="000000"/>
              <w:bottom w:val="single" w:sz="4" w:space="0" w:color="000000"/>
              <w:right w:val="single" w:sz="8" w:space="0" w:color="000000"/>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277,4</w:t>
            </w:r>
          </w:p>
        </w:tc>
      </w:tr>
      <w:tr w:rsidR="00ED7F17" w:rsidTr="00ED7F17">
        <w:trPr>
          <w:trHeight w:val="1575"/>
        </w:trPr>
        <w:tc>
          <w:tcPr>
            <w:tcW w:w="1718" w:type="dxa"/>
            <w:tcBorders>
              <w:top w:val="nil"/>
              <w:left w:val="single" w:sz="8"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ГБУЗ АО «ГКБ №3»</w:t>
            </w:r>
          </w:p>
        </w:tc>
        <w:tc>
          <w:tcPr>
            <w:tcW w:w="2629"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193 (из них: для б-х с острым инфарктом миокарда -48; интенсивной терапии - 12)</w:t>
            </w:r>
          </w:p>
        </w:tc>
        <w:tc>
          <w:tcPr>
            <w:tcW w:w="2631"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183 (из них: для б-х с острым инфарктом миокарда -45; интенсивной терапии - 12)</w:t>
            </w:r>
          </w:p>
        </w:tc>
        <w:tc>
          <w:tcPr>
            <w:tcW w:w="706"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w:t>
            </w:r>
          </w:p>
        </w:tc>
        <w:tc>
          <w:tcPr>
            <w:tcW w:w="805"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w:t>
            </w:r>
          </w:p>
        </w:tc>
        <w:tc>
          <w:tcPr>
            <w:tcW w:w="686"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333,6</w:t>
            </w:r>
          </w:p>
        </w:tc>
        <w:tc>
          <w:tcPr>
            <w:tcW w:w="776" w:type="dxa"/>
            <w:gridSpan w:val="2"/>
            <w:tcBorders>
              <w:top w:val="nil"/>
              <w:left w:val="single" w:sz="4" w:space="0" w:color="000000"/>
              <w:bottom w:val="single" w:sz="4" w:space="0" w:color="000000"/>
              <w:right w:val="single" w:sz="8" w:space="0" w:color="000000"/>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352,7</w:t>
            </w:r>
          </w:p>
        </w:tc>
      </w:tr>
      <w:tr w:rsidR="00ED7F17" w:rsidTr="00ED7F17">
        <w:trPr>
          <w:trHeight w:val="1260"/>
        </w:trPr>
        <w:tc>
          <w:tcPr>
            <w:tcW w:w="1718" w:type="dxa"/>
            <w:tcBorders>
              <w:top w:val="nil"/>
              <w:left w:val="single" w:sz="8"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ГБУЗ АО «Ахтубинская РБ»</w:t>
            </w:r>
          </w:p>
        </w:tc>
        <w:tc>
          <w:tcPr>
            <w:tcW w:w="2629"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28 (из них: для б-х с острым инфарктом миокарда -8; интенсивной терапии - 1)</w:t>
            </w:r>
          </w:p>
        </w:tc>
        <w:tc>
          <w:tcPr>
            <w:tcW w:w="2631"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27 (из них: для б-х с острым инфарктом миокарда -5; интенсивной терапии - 3)</w:t>
            </w:r>
          </w:p>
        </w:tc>
        <w:tc>
          <w:tcPr>
            <w:tcW w:w="706"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4,74</w:t>
            </w:r>
          </w:p>
        </w:tc>
        <w:tc>
          <w:tcPr>
            <w:tcW w:w="805"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4,57</w:t>
            </w:r>
          </w:p>
        </w:tc>
        <w:tc>
          <w:tcPr>
            <w:tcW w:w="686"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328,9</w:t>
            </w:r>
          </w:p>
        </w:tc>
        <w:tc>
          <w:tcPr>
            <w:tcW w:w="776" w:type="dxa"/>
            <w:gridSpan w:val="2"/>
            <w:tcBorders>
              <w:top w:val="nil"/>
              <w:left w:val="single" w:sz="4" w:space="0" w:color="000000"/>
              <w:bottom w:val="single" w:sz="4" w:space="0" w:color="000000"/>
              <w:right w:val="single" w:sz="8" w:space="0" w:color="000000"/>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314,7</w:t>
            </w:r>
          </w:p>
        </w:tc>
      </w:tr>
      <w:tr w:rsidR="00ED7F17" w:rsidTr="00ED7F17">
        <w:trPr>
          <w:trHeight w:val="315"/>
        </w:trPr>
        <w:tc>
          <w:tcPr>
            <w:tcW w:w="1718" w:type="dxa"/>
            <w:tcBorders>
              <w:top w:val="nil"/>
              <w:left w:val="single" w:sz="8"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ГБУЗ АО «Енотаевская РБ»</w:t>
            </w:r>
          </w:p>
        </w:tc>
        <w:tc>
          <w:tcPr>
            <w:tcW w:w="2629"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w:t>
            </w:r>
          </w:p>
        </w:tc>
        <w:tc>
          <w:tcPr>
            <w:tcW w:w="2631"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w:t>
            </w:r>
          </w:p>
        </w:tc>
        <w:tc>
          <w:tcPr>
            <w:tcW w:w="706"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0,78</w:t>
            </w:r>
          </w:p>
        </w:tc>
        <w:tc>
          <w:tcPr>
            <w:tcW w:w="805"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0,78</w:t>
            </w:r>
          </w:p>
        </w:tc>
        <w:tc>
          <w:tcPr>
            <w:tcW w:w="686"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31,0</w:t>
            </w:r>
          </w:p>
        </w:tc>
        <w:tc>
          <w:tcPr>
            <w:tcW w:w="776" w:type="dxa"/>
            <w:gridSpan w:val="2"/>
            <w:tcBorders>
              <w:top w:val="nil"/>
              <w:left w:val="single" w:sz="4" w:space="0" w:color="000000"/>
              <w:bottom w:val="single" w:sz="4" w:space="0" w:color="000000"/>
              <w:right w:val="single" w:sz="8" w:space="0" w:color="000000"/>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194,0</w:t>
            </w:r>
          </w:p>
        </w:tc>
      </w:tr>
      <w:tr w:rsidR="00ED7F17" w:rsidTr="00ED7F17">
        <w:trPr>
          <w:trHeight w:val="645"/>
        </w:trPr>
        <w:tc>
          <w:tcPr>
            <w:tcW w:w="1718"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ГБУЗ АО «Харабалинская РБ»</w:t>
            </w:r>
          </w:p>
        </w:tc>
        <w:tc>
          <w:tcPr>
            <w:tcW w:w="2629" w:type="dxa"/>
            <w:tcBorders>
              <w:top w:val="nil"/>
              <w:left w:val="single" w:sz="4" w:space="0" w:color="000000"/>
              <w:bottom w:val="single" w:sz="8"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5 (из них: интенсивной терапии - 5)</w:t>
            </w:r>
          </w:p>
        </w:tc>
        <w:tc>
          <w:tcPr>
            <w:tcW w:w="2631" w:type="dxa"/>
            <w:tcBorders>
              <w:top w:val="nil"/>
              <w:left w:val="single" w:sz="4" w:space="0" w:color="000000"/>
              <w:bottom w:val="single" w:sz="8"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 (из них: интенсивной терапии - 1)</w:t>
            </w:r>
          </w:p>
        </w:tc>
        <w:tc>
          <w:tcPr>
            <w:tcW w:w="706" w:type="dxa"/>
            <w:tcBorders>
              <w:top w:val="nil"/>
              <w:left w:val="single" w:sz="4" w:space="0" w:color="000000"/>
              <w:bottom w:val="single" w:sz="8"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1,23</w:t>
            </w:r>
          </w:p>
        </w:tc>
        <w:tc>
          <w:tcPr>
            <w:tcW w:w="805" w:type="dxa"/>
            <w:tcBorders>
              <w:top w:val="nil"/>
              <w:left w:val="single" w:sz="4" w:space="0" w:color="000000"/>
              <w:bottom w:val="single" w:sz="8"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0,24</w:t>
            </w:r>
          </w:p>
        </w:tc>
        <w:tc>
          <w:tcPr>
            <w:tcW w:w="686" w:type="dxa"/>
            <w:tcBorders>
              <w:top w:val="nil"/>
              <w:left w:val="single" w:sz="4" w:space="0" w:color="000000"/>
              <w:bottom w:val="single" w:sz="8"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129,0</w:t>
            </w:r>
          </w:p>
        </w:tc>
        <w:tc>
          <w:tcPr>
            <w:tcW w:w="776" w:type="dxa"/>
            <w:gridSpan w:val="2"/>
            <w:tcBorders>
              <w:top w:val="nil"/>
              <w:left w:val="single" w:sz="4" w:space="0" w:color="000000"/>
              <w:bottom w:val="single" w:sz="8" w:space="0" w:color="000000"/>
              <w:right w:val="single" w:sz="8" w:space="0" w:color="000000"/>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304,0</w:t>
            </w:r>
          </w:p>
        </w:tc>
      </w:tr>
    </w:tbl>
    <w:p w:rsidR="00ED7F17" w:rsidRDefault="00ED7F17" w:rsidP="00ED7F17">
      <w:pPr>
        <w:pStyle w:val="17"/>
        <w:widowControl w:val="0"/>
        <w:spacing w:after="0" w:line="240" w:lineRule="auto"/>
        <w:ind w:left="0"/>
        <w:jc w:val="center"/>
        <w:rPr>
          <w:rFonts w:ascii="Times New Roman" w:hAnsi="Times New Roman" w:cs="Times New Roman"/>
        </w:rPr>
      </w:pPr>
    </w:p>
    <w:p w:rsidR="00ED7F17" w:rsidRDefault="00ED7F17" w:rsidP="00ED7F17">
      <w:pPr>
        <w:pStyle w:val="17"/>
        <w:widowControl w:val="0"/>
        <w:spacing w:after="0" w:line="240" w:lineRule="auto"/>
        <w:ind w:left="0"/>
        <w:jc w:val="center"/>
        <w:rPr>
          <w:rFonts w:ascii="Times New Roman" w:hAnsi="Times New Roman" w:cs="Times New Roman"/>
        </w:rPr>
      </w:pPr>
    </w:p>
    <w:p w:rsidR="00ED7F17" w:rsidRDefault="00ED7F17" w:rsidP="00ED7F17">
      <w:pPr>
        <w:pStyle w:val="17"/>
        <w:widowControl w:val="0"/>
        <w:spacing w:after="0" w:line="240" w:lineRule="auto"/>
        <w:ind w:left="0"/>
        <w:jc w:val="center"/>
        <w:rPr>
          <w:rFonts w:ascii="Times New Roman" w:hAnsi="Times New Roman" w:cs="Times New Roman"/>
        </w:rPr>
      </w:pPr>
    </w:p>
    <w:p w:rsidR="00ED7F17" w:rsidRDefault="00ED7F17" w:rsidP="00ED7F17">
      <w:pPr>
        <w:pStyle w:val="17"/>
        <w:widowControl w:val="0"/>
        <w:spacing w:after="0" w:line="240" w:lineRule="auto"/>
        <w:ind w:left="0"/>
        <w:jc w:val="center"/>
        <w:rPr>
          <w:rFonts w:ascii="Times New Roman" w:hAnsi="Times New Roman" w:cs="Times New Roman"/>
        </w:rPr>
      </w:pPr>
    </w:p>
    <w:p w:rsidR="00ED7F17" w:rsidRDefault="00ED7F17" w:rsidP="00ED7F17">
      <w:pPr>
        <w:pStyle w:val="17"/>
        <w:widowControl w:val="0"/>
        <w:spacing w:after="0" w:line="240" w:lineRule="auto"/>
        <w:ind w:left="0"/>
        <w:jc w:val="center"/>
      </w:pPr>
      <w:r>
        <w:rPr>
          <w:rFonts w:ascii="Times New Roman" w:hAnsi="Times New Roman" w:cs="Times New Roman"/>
          <w:b/>
          <w:sz w:val="20"/>
          <w:szCs w:val="20"/>
        </w:rPr>
        <w:t>Обеспеченность койками кардиологического профиля</w:t>
      </w:r>
    </w:p>
    <w:p w:rsidR="00ED7F17" w:rsidRDefault="00ED7F17" w:rsidP="00ED7F17">
      <w:pPr>
        <w:pStyle w:val="17"/>
        <w:widowControl w:val="0"/>
        <w:spacing w:after="0" w:line="240" w:lineRule="auto"/>
        <w:ind w:left="0"/>
        <w:jc w:val="center"/>
      </w:pPr>
      <w:r>
        <w:rPr>
          <w:rFonts w:ascii="Times New Roman" w:hAnsi="Times New Roman" w:cs="Times New Roman"/>
          <w:b/>
          <w:sz w:val="20"/>
          <w:szCs w:val="20"/>
        </w:rPr>
        <w:t>(на 10 тысяч взрослого населения)</w:t>
      </w:r>
    </w:p>
    <w:p w:rsidR="00ED7F17" w:rsidRDefault="00ED7F17" w:rsidP="00ED7F17">
      <w:pPr>
        <w:pStyle w:val="17"/>
        <w:widowControl w:val="0"/>
        <w:spacing w:after="0" w:line="240" w:lineRule="auto"/>
        <w:ind w:left="0" w:firstLine="709"/>
        <w:jc w:val="both"/>
        <w:rPr>
          <w:rFonts w:ascii="Times New Roman" w:hAnsi="Times New Roman" w:cs="Times New Roman"/>
          <w:b/>
          <w:sz w:val="20"/>
          <w:szCs w:val="20"/>
          <w:lang w:val="x-none"/>
        </w:rPr>
      </w:pPr>
    </w:p>
    <w:p w:rsidR="00ED7F17" w:rsidRDefault="00ED7F17" w:rsidP="00ED7F17">
      <w:pPr>
        <w:pStyle w:val="17"/>
        <w:widowControl w:val="0"/>
        <w:spacing w:after="0" w:line="240" w:lineRule="auto"/>
        <w:ind w:left="0" w:firstLine="709"/>
        <w:jc w:val="both"/>
        <w:rPr>
          <w:rFonts w:ascii="Times New Roman" w:hAnsi="Times New Roman" w:cs="Times New Roman"/>
          <w:highlight w:val="yellow"/>
          <w:lang w:val="x-none"/>
        </w:rPr>
      </w:pPr>
      <w:r>
        <w:rPr>
          <w:noProof/>
          <w:lang w:eastAsia="ru-RU"/>
        </w:rPr>
        <w:drawing>
          <wp:inline distT="0" distB="0" distL="0" distR="0">
            <wp:extent cx="5394960" cy="4366260"/>
            <wp:effectExtent l="0" t="0" r="0" b="0"/>
            <wp:docPr id="23" name="Диаграмма 2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ED7F17" w:rsidRDefault="00ED7F17" w:rsidP="00ED7F17">
      <w:pPr>
        <w:jc w:val="both"/>
        <w:rPr>
          <w:highlight w:val="yellow"/>
          <w:lang w:val="x-none"/>
        </w:rPr>
      </w:pPr>
    </w:p>
    <w:p w:rsidR="00ED7F17" w:rsidRDefault="00ED7F17" w:rsidP="00ED7F17">
      <w:pPr>
        <w:jc w:val="both"/>
        <w:rPr>
          <w:highlight w:val="yellow"/>
          <w:lang w:val="x-none"/>
        </w:rPr>
      </w:pPr>
    </w:p>
    <w:p w:rsidR="00ED7F17" w:rsidRDefault="00ED7F17" w:rsidP="00ED7F17">
      <w:pPr>
        <w:ind w:firstLine="709"/>
        <w:jc w:val="both"/>
        <w:rPr>
          <w:rFonts w:ascii="Arial" w:hAnsi="Arial" w:cs="Arial"/>
        </w:rPr>
      </w:pPr>
      <w:r>
        <w:rPr>
          <w:color w:val="auto"/>
          <w:lang w:eastAsia="ru-RU"/>
        </w:rPr>
        <w:t xml:space="preserve">В профильные отделения (РСЦ и ПСО) госпитализировано 94,2% пациентов с ОКС, при среднероссийском показателе госпитализации 79,7%. </w:t>
      </w:r>
      <w:r>
        <w:t>Профильная госпитализация в разрезе учреждений:</w:t>
      </w:r>
    </w:p>
    <w:p w:rsidR="00ED7F17" w:rsidRDefault="00ED7F17" w:rsidP="00ED7F17">
      <w:pPr>
        <w:pStyle w:val="17"/>
        <w:spacing w:after="0" w:line="240" w:lineRule="auto"/>
        <w:ind w:left="0" w:firstLine="709"/>
      </w:pPr>
      <w:r>
        <w:rPr>
          <w:rFonts w:ascii="Times New Roman" w:hAnsi="Times New Roman" w:cs="Times New Roman"/>
        </w:rPr>
        <w:t xml:space="preserve">- РСЦ (ГБУЗ АО АМОКБ) – 97,7%, </w:t>
      </w:r>
    </w:p>
    <w:p w:rsidR="00ED7F17" w:rsidRDefault="00ED7F17" w:rsidP="00ED7F17">
      <w:pPr>
        <w:pStyle w:val="17"/>
        <w:spacing w:after="0" w:line="240" w:lineRule="auto"/>
        <w:ind w:left="0" w:firstLine="709"/>
      </w:pPr>
      <w:r>
        <w:rPr>
          <w:rFonts w:ascii="Times New Roman" w:hAnsi="Times New Roman" w:cs="Times New Roman"/>
        </w:rPr>
        <w:t xml:space="preserve">- ПСО (ГБУЗ АО «ГКБ № 3») - 96,2%; </w:t>
      </w:r>
    </w:p>
    <w:p w:rsidR="00ED7F17" w:rsidRDefault="00ED7F17" w:rsidP="00ED7F17">
      <w:pPr>
        <w:pStyle w:val="17"/>
        <w:spacing w:after="0" w:line="240" w:lineRule="auto"/>
        <w:ind w:left="0" w:firstLine="709"/>
      </w:pPr>
      <w:r>
        <w:rPr>
          <w:rFonts w:ascii="Times New Roman" w:hAnsi="Times New Roman" w:cs="Times New Roman"/>
        </w:rPr>
        <w:t>- ПСО (ГБУЗ АО «Ахтубинская РБ») – 89,3%.</w:t>
      </w:r>
    </w:p>
    <w:p w:rsidR="00ED7F17" w:rsidRDefault="00ED7F17" w:rsidP="00ED7F17">
      <w:pPr>
        <w:pStyle w:val="17"/>
        <w:numPr>
          <w:ilvl w:val="0"/>
          <w:numId w:val="6"/>
        </w:numPr>
        <w:spacing w:after="0" w:line="240" w:lineRule="auto"/>
        <w:ind w:firstLine="709"/>
        <w:jc w:val="both"/>
      </w:pPr>
      <w:r>
        <w:rPr>
          <w:rFonts w:ascii="Times New Roman" w:hAnsi="Times New Roman" w:cs="Times New Roman"/>
        </w:rPr>
        <w:t>В медицинских организациях Астраханской области налажена система ежедневного мониторирования поступивших больных с ОКС. При оказании медицинской помощи при ОКС проводится качественное и количественное определение кардиомаркеров как в ПСО и РСЦ, так и в районных больницах и бригадами скорой медицинской помощи.</w:t>
      </w:r>
    </w:p>
    <w:p w:rsidR="00ED7F17" w:rsidRDefault="00ED7F17" w:rsidP="00ED7F17">
      <w:pPr>
        <w:pStyle w:val="17"/>
        <w:numPr>
          <w:ilvl w:val="0"/>
          <w:numId w:val="6"/>
        </w:numPr>
        <w:spacing w:after="0" w:line="240" w:lineRule="auto"/>
        <w:ind w:firstLine="709"/>
        <w:jc w:val="both"/>
      </w:pPr>
      <w:r>
        <w:rPr>
          <w:rFonts w:ascii="Times New Roman" w:hAnsi="Times New Roman" w:cs="Times New Roman"/>
        </w:rPr>
        <w:t xml:space="preserve">В регионе реализуется фармакоинвазивная стратегия оказания медицинской помощи с ОКС с подъемом сегмента </w:t>
      </w:r>
      <w:r>
        <w:rPr>
          <w:rFonts w:ascii="Times New Roman" w:hAnsi="Times New Roman" w:cs="Times New Roman"/>
          <w:lang w:val="en-US"/>
        </w:rPr>
        <w:t>ST</w:t>
      </w:r>
      <w:r>
        <w:rPr>
          <w:rFonts w:ascii="Times New Roman" w:hAnsi="Times New Roman" w:cs="Times New Roman"/>
        </w:rPr>
        <w:t>. В случаях, когда плечо доставки до РСЦ или ПСО оснащенного ангиографической установкой превышает 2 часа, осуществляется догоспистальный тромболис (препарат фортелизин). В 2018 году догоспитальный тромболизис был применен в 84 случаях.</w:t>
      </w:r>
    </w:p>
    <w:p w:rsidR="00ED7F17" w:rsidRDefault="00ED7F17" w:rsidP="00ED7F17">
      <w:pPr>
        <w:numPr>
          <w:ilvl w:val="0"/>
          <w:numId w:val="6"/>
        </w:numPr>
        <w:overflowPunct/>
        <w:spacing w:line="276" w:lineRule="auto"/>
        <w:ind w:firstLine="709"/>
        <w:jc w:val="both"/>
      </w:pPr>
      <w:r>
        <w:rPr>
          <w:rFonts w:eastAsia="Calibri"/>
          <w:color w:val="auto"/>
        </w:rPr>
        <w:t xml:space="preserve">В регионе наблюдается положительная динамика проведения реперфузионной терапии у </w:t>
      </w:r>
      <w:r>
        <w:rPr>
          <w:rFonts w:eastAsia="Calibri"/>
          <w:iCs/>
          <w:color w:val="auto"/>
        </w:rPr>
        <w:t>пациентов с ОКС с подъемом сегмента ST</w:t>
      </w:r>
      <w:r>
        <w:rPr>
          <w:rFonts w:eastAsia="Calibri"/>
          <w:color w:val="auto"/>
        </w:rPr>
        <w:t xml:space="preserve"> –</w:t>
      </w:r>
      <w:r>
        <w:rPr>
          <w:rFonts w:eastAsia="Calibri"/>
          <w:iCs/>
          <w:color w:val="auto"/>
        </w:rPr>
        <w:t xml:space="preserve"> с 76,9% до 86,5% (в РФ – 74,1%), при этом доля первичного</w:t>
      </w:r>
      <w:r>
        <w:rPr>
          <w:rFonts w:eastAsia="Calibri"/>
          <w:color w:val="auto"/>
        </w:rPr>
        <w:t xml:space="preserve"> ЧКВ возросла с 47,2% до 63,6% (РФ – 47,4%), а процент проведения тромболитической терапии сократился с 29,7% до 22,9%, что соответствует клиническим рекомендациям по ведению данной категории пациентов. Доля </w:t>
      </w:r>
      <w:r>
        <w:rPr>
          <w:rFonts w:eastAsia="Calibri"/>
          <w:iCs/>
          <w:color w:val="auto"/>
        </w:rPr>
        <w:t xml:space="preserve">догоспитального тромболизиса </w:t>
      </w:r>
      <w:r>
        <w:rPr>
          <w:rFonts w:eastAsia="Calibri"/>
          <w:color w:val="auto"/>
        </w:rPr>
        <w:t>сохраняется стабильно высокой – 63,4% (РФ – на уровне 30%).</w:t>
      </w:r>
    </w:p>
    <w:p w:rsidR="00ED7F17" w:rsidRDefault="00ED7F17" w:rsidP="00ED7F17">
      <w:pPr>
        <w:pStyle w:val="17"/>
        <w:numPr>
          <w:ilvl w:val="0"/>
          <w:numId w:val="6"/>
        </w:numPr>
        <w:spacing w:after="0" w:line="240" w:lineRule="auto"/>
        <w:ind w:firstLine="709"/>
        <w:jc w:val="both"/>
      </w:pPr>
      <w:r>
        <w:rPr>
          <w:rFonts w:ascii="Times New Roman" w:hAnsi="Times New Roman" w:cs="Times New Roman"/>
        </w:rPr>
        <w:t xml:space="preserve">На территории Астраханской области проведение чрескожных коронарных вмешательств (далее – ЧКВ) и ангиографии в плановом и экстренном порядке осуществляют 3 учреждения:  РСЦ ГБУЗ АО АМОКБ, ПСО ГБУЗ АО «ГКБ №3», ФГБУ «ФЦСХ» Минздрава России (г. Астрахань). В 2018 году проведено 1489 ЧКВ пациентам с острым коронарным синдромом и хронической ИБС и 2058 ангиографий.  Количество пациентов с ОКС в общем количестве составляло 2659 человек, из них с подъемом сегмента </w:t>
      </w:r>
      <w:r>
        <w:rPr>
          <w:rFonts w:ascii="Times New Roman" w:hAnsi="Times New Roman" w:cs="Times New Roman"/>
          <w:lang w:val="en-US"/>
        </w:rPr>
        <w:t>ST</w:t>
      </w:r>
      <w:r>
        <w:rPr>
          <w:rFonts w:ascii="Times New Roman" w:hAnsi="Times New Roman" w:cs="Times New Roman"/>
        </w:rPr>
        <w:t xml:space="preserve">- 660, без подъема сегмента </w:t>
      </w:r>
      <w:r>
        <w:rPr>
          <w:rFonts w:ascii="Times New Roman" w:hAnsi="Times New Roman" w:cs="Times New Roman"/>
          <w:lang w:val="en-US"/>
        </w:rPr>
        <w:t>ST</w:t>
      </w:r>
      <w:r>
        <w:rPr>
          <w:rFonts w:ascii="Times New Roman" w:hAnsi="Times New Roman" w:cs="Times New Roman"/>
        </w:rPr>
        <w:t xml:space="preserve"> -1999. Доля ЧКВ среди больных с ОКС с подъемом сегмента </w:t>
      </w:r>
      <w:r>
        <w:rPr>
          <w:rFonts w:ascii="Times New Roman" w:hAnsi="Times New Roman" w:cs="Times New Roman"/>
          <w:lang w:val="en-US"/>
        </w:rPr>
        <w:t>ST</w:t>
      </w:r>
      <w:r>
        <w:rPr>
          <w:rFonts w:ascii="Times New Roman" w:hAnsi="Times New Roman" w:cs="Times New Roman"/>
        </w:rPr>
        <w:t xml:space="preserve"> составила 65,0%, без подъема сегмента </w:t>
      </w:r>
      <w:r>
        <w:rPr>
          <w:rFonts w:ascii="Times New Roman" w:hAnsi="Times New Roman" w:cs="Times New Roman"/>
          <w:lang w:val="en-US"/>
        </w:rPr>
        <w:t>ST</w:t>
      </w:r>
      <w:r>
        <w:rPr>
          <w:rFonts w:ascii="Times New Roman" w:hAnsi="Times New Roman" w:cs="Times New Roman"/>
        </w:rPr>
        <w:t xml:space="preserve"> - 29,2%.</w:t>
      </w:r>
      <w:r>
        <w:t xml:space="preserve"> </w:t>
      </w:r>
      <w:r>
        <w:rPr>
          <w:rFonts w:ascii="Times New Roman" w:hAnsi="Times New Roman" w:cs="Times New Roman"/>
        </w:rPr>
        <w:t xml:space="preserve">В 2022 году запланировано дооснащение ПСО ГБУЗ АО «Ахтубинская районная больница», после чего ЧКВ будут осуществлять 4 медицинские организации. </w:t>
      </w:r>
    </w:p>
    <w:p w:rsidR="00ED7F17" w:rsidRDefault="00ED7F17" w:rsidP="00ED7F17">
      <w:pPr>
        <w:ind w:firstLine="709"/>
        <w:jc w:val="both"/>
      </w:pPr>
      <w:r>
        <w:rPr>
          <w:rFonts w:eastAsia="Calibri"/>
        </w:rPr>
        <w:t xml:space="preserve">В 2018 году отмечается снижение доли выполнения ангиопластики коронарных сосудов у </w:t>
      </w:r>
      <w:r>
        <w:rPr>
          <w:rFonts w:eastAsia="Calibri"/>
          <w:iCs/>
        </w:rPr>
        <w:t>пациентов с ОКС без подъемом сегмента ST с 27% до 23,9%, хотя она несколько выше уровня среднероссийского показателя – 18,2%. Это связано, прежде всего, с нестабильной стенокардией у пациентов с многососудистым атеросклеротическим поражением коронарного русла, длительно ожидающих полостных операций.</w:t>
      </w:r>
    </w:p>
    <w:p w:rsidR="00ED7F17" w:rsidRDefault="00ED7F17" w:rsidP="00ED7F17">
      <w:pPr>
        <w:pStyle w:val="17"/>
        <w:spacing w:after="0" w:line="240" w:lineRule="auto"/>
        <w:ind w:left="0" w:firstLine="709"/>
        <w:jc w:val="both"/>
      </w:pPr>
      <w:r>
        <w:rPr>
          <w:rFonts w:ascii="Times New Roman" w:hAnsi="Times New Roman" w:cs="Times New Roman"/>
        </w:rPr>
        <w:t>В 2018 году в Астраханской области выполнено кардиохирургических вмешательств:</w:t>
      </w:r>
    </w:p>
    <w:p w:rsidR="00ED7F17" w:rsidRDefault="00ED7F17" w:rsidP="00ED7F17">
      <w:pPr>
        <w:pStyle w:val="17"/>
        <w:spacing w:after="0" w:line="240" w:lineRule="auto"/>
        <w:ind w:left="0" w:firstLine="709"/>
        <w:jc w:val="both"/>
      </w:pPr>
      <w:r>
        <w:rPr>
          <w:rFonts w:ascii="Times New Roman" w:hAnsi="Times New Roman" w:cs="Times New Roman"/>
        </w:rPr>
        <w:t xml:space="preserve">- экстренное аорто-коронарное шунтирование - 46; </w:t>
      </w:r>
    </w:p>
    <w:p w:rsidR="00ED7F17" w:rsidRDefault="00ED7F17" w:rsidP="00ED7F17">
      <w:pPr>
        <w:pStyle w:val="17"/>
        <w:numPr>
          <w:ilvl w:val="1"/>
          <w:numId w:val="4"/>
        </w:numPr>
        <w:spacing w:after="0" w:line="240" w:lineRule="auto"/>
        <w:ind w:firstLine="709"/>
        <w:jc w:val="both"/>
      </w:pPr>
      <w:r>
        <w:rPr>
          <w:rFonts w:ascii="Times New Roman" w:hAnsi="Times New Roman" w:cs="Times New Roman"/>
        </w:rPr>
        <w:t>- имплантация ИКД – 87, ресинхронизирующая терапия - 6;</w:t>
      </w:r>
    </w:p>
    <w:p w:rsidR="00ED7F17" w:rsidRDefault="00ED7F17" w:rsidP="00ED7F17">
      <w:pPr>
        <w:pStyle w:val="17"/>
        <w:numPr>
          <w:ilvl w:val="1"/>
          <w:numId w:val="4"/>
        </w:numPr>
        <w:spacing w:after="0" w:line="240" w:lineRule="auto"/>
        <w:ind w:firstLine="709"/>
        <w:jc w:val="both"/>
      </w:pPr>
      <w:r>
        <w:rPr>
          <w:rFonts w:ascii="Times New Roman" w:hAnsi="Times New Roman" w:cs="Times New Roman"/>
        </w:rPr>
        <w:t>- протезирование клапанов – 423, транскатетерные имплантации аортального клапана (</w:t>
      </w:r>
      <w:r>
        <w:rPr>
          <w:rFonts w:ascii="Times New Roman" w:hAnsi="Times New Roman" w:cs="Times New Roman"/>
          <w:lang w:val="en-US"/>
        </w:rPr>
        <w:t>TAVI</w:t>
      </w:r>
      <w:r>
        <w:rPr>
          <w:rFonts w:ascii="Times New Roman" w:hAnsi="Times New Roman" w:cs="Times New Roman"/>
        </w:rPr>
        <w:t>) - 15;</w:t>
      </w:r>
    </w:p>
    <w:p w:rsidR="00ED7F17" w:rsidRDefault="00ED7F17" w:rsidP="00ED7F17">
      <w:pPr>
        <w:pStyle w:val="17"/>
        <w:numPr>
          <w:ilvl w:val="1"/>
          <w:numId w:val="4"/>
        </w:numPr>
        <w:spacing w:after="0" w:line="240" w:lineRule="auto"/>
        <w:ind w:firstLine="709"/>
        <w:jc w:val="both"/>
      </w:pPr>
      <w:r>
        <w:rPr>
          <w:rFonts w:ascii="Times New Roman" w:hAnsi="Times New Roman" w:cs="Times New Roman"/>
        </w:rPr>
        <w:t>- протезирование аорты (эндопропротезирование аорты - 21, открытые - 68);</w:t>
      </w:r>
    </w:p>
    <w:p w:rsidR="00ED7F17" w:rsidRDefault="00ED7F17" w:rsidP="00ED7F17">
      <w:pPr>
        <w:pStyle w:val="17"/>
        <w:numPr>
          <w:ilvl w:val="1"/>
          <w:numId w:val="4"/>
        </w:numPr>
        <w:spacing w:after="0" w:line="240" w:lineRule="auto"/>
        <w:ind w:firstLine="709"/>
        <w:jc w:val="both"/>
      </w:pPr>
      <w:r>
        <w:rPr>
          <w:rFonts w:ascii="Times New Roman" w:hAnsi="Times New Roman" w:cs="Times New Roman"/>
        </w:rPr>
        <w:t>- эндоваскулярная коррекция нарушений ритма - 869.</w:t>
      </w:r>
    </w:p>
    <w:p w:rsidR="00ED7F17" w:rsidRDefault="00ED7F17" w:rsidP="00ED7F17">
      <w:pPr>
        <w:pStyle w:val="17"/>
        <w:numPr>
          <w:ilvl w:val="1"/>
          <w:numId w:val="4"/>
        </w:numPr>
        <w:spacing w:after="0" w:line="240" w:lineRule="auto"/>
        <w:ind w:firstLine="709"/>
        <w:jc w:val="both"/>
      </w:pPr>
      <w:r>
        <w:rPr>
          <w:rFonts w:ascii="Times New Roman" w:hAnsi="Times New Roman" w:cs="Times New Roman"/>
        </w:rPr>
        <w:t>Трансплантация сердца в учреждениях здравоохранения Астраханской области не проводится.</w:t>
      </w:r>
    </w:p>
    <w:p w:rsidR="00ED7F17" w:rsidRDefault="00ED7F17" w:rsidP="00ED7F17">
      <w:pPr>
        <w:pStyle w:val="17"/>
        <w:spacing w:after="0" w:line="240" w:lineRule="auto"/>
        <w:jc w:val="both"/>
        <w:rPr>
          <w:rFonts w:ascii="Times New Roman" w:hAnsi="Times New Roman" w:cs="Times New Roman"/>
        </w:rPr>
      </w:pPr>
    </w:p>
    <w:tbl>
      <w:tblPr>
        <w:tblW w:w="0" w:type="auto"/>
        <w:tblInd w:w="-55" w:type="dxa"/>
        <w:tblLayout w:type="fixed"/>
        <w:tblCellMar>
          <w:left w:w="103" w:type="dxa"/>
        </w:tblCellMar>
        <w:tblLook w:val="04A0" w:firstRow="1" w:lastRow="0" w:firstColumn="1" w:lastColumn="0" w:noHBand="0" w:noVBand="1"/>
      </w:tblPr>
      <w:tblGrid>
        <w:gridCol w:w="4674"/>
        <w:gridCol w:w="1980"/>
        <w:gridCol w:w="1583"/>
        <w:gridCol w:w="1375"/>
      </w:tblGrid>
      <w:tr w:rsidR="00ED7F17" w:rsidTr="00ED7F17">
        <w:trPr>
          <w:trHeight w:val="810"/>
        </w:trPr>
        <w:tc>
          <w:tcPr>
            <w:tcW w:w="4674" w:type="dxa"/>
            <w:vMerge w:val="restart"/>
            <w:tcBorders>
              <w:top w:val="single" w:sz="4" w:space="0" w:color="00000A"/>
              <w:left w:val="single" w:sz="4" w:space="0" w:color="00000A"/>
              <w:bottom w:val="single" w:sz="4" w:space="0" w:color="00000A"/>
              <w:right w:val="nil"/>
            </w:tcBorders>
            <w:hideMark/>
          </w:tcPr>
          <w:p w:rsidR="00ED7F17" w:rsidRDefault="00ED7F17">
            <w:pPr>
              <w:rPr>
                <w:rFonts w:ascii="Arial" w:eastAsia="Arial" w:hAnsi="Arial" w:cs="Arial"/>
                <w:sz w:val="22"/>
                <w:szCs w:val="22"/>
              </w:rPr>
            </w:pPr>
            <w:r>
              <w:rPr>
                <w:color w:val="000000"/>
                <w:sz w:val="20"/>
                <w:szCs w:val="20"/>
              </w:rPr>
              <w:t> </w:t>
            </w:r>
          </w:p>
        </w:tc>
        <w:tc>
          <w:tcPr>
            <w:tcW w:w="1980" w:type="dxa"/>
            <w:vMerge w:val="restart"/>
            <w:tcBorders>
              <w:top w:val="single" w:sz="4" w:space="0" w:color="00000A"/>
              <w:left w:val="single" w:sz="4" w:space="0" w:color="00000A"/>
              <w:bottom w:val="single" w:sz="4" w:space="0" w:color="00000A"/>
              <w:right w:val="nil"/>
            </w:tcBorders>
            <w:hideMark/>
          </w:tcPr>
          <w:p w:rsidR="00ED7F17" w:rsidRDefault="00ED7F17">
            <w:pPr>
              <w:jc w:val="center"/>
              <w:rPr>
                <w:rFonts w:ascii="Arial" w:eastAsia="Arial" w:hAnsi="Arial" w:cs="Arial"/>
                <w:sz w:val="22"/>
                <w:szCs w:val="22"/>
              </w:rPr>
            </w:pPr>
            <w:r>
              <w:rPr>
                <w:b/>
                <w:bCs/>
                <w:color w:val="000000"/>
                <w:sz w:val="20"/>
                <w:szCs w:val="20"/>
              </w:rPr>
              <w:t>Целевой уровень на 2018 год</w:t>
            </w:r>
          </w:p>
        </w:tc>
        <w:tc>
          <w:tcPr>
            <w:tcW w:w="2958" w:type="dxa"/>
            <w:gridSpan w:val="2"/>
            <w:tcBorders>
              <w:top w:val="single" w:sz="4" w:space="0" w:color="00000A"/>
              <w:left w:val="single" w:sz="4" w:space="0" w:color="00000A"/>
              <w:bottom w:val="single" w:sz="4" w:space="0" w:color="00000A"/>
              <w:right w:val="single" w:sz="4" w:space="0" w:color="00000A"/>
            </w:tcBorders>
            <w:hideMark/>
          </w:tcPr>
          <w:p w:rsidR="00ED7F17" w:rsidRDefault="00ED7F17">
            <w:pPr>
              <w:jc w:val="center"/>
              <w:rPr>
                <w:rFonts w:ascii="Arial" w:eastAsia="Arial" w:hAnsi="Arial" w:cs="Arial"/>
                <w:sz w:val="22"/>
                <w:szCs w:val="22"/>
              </w:rPr>
            </w:pPr>
            <w:r>
              <w:rPr>
                <w:b/>
                <w:bCs/>
                <w:color w:val="000000"/>
                <w:sz w:val="20"/>
                <w:szCs w:val="20"/>
              </w:rPr>
              <w:t>Фактический показатель</w:t>
            </w:r>
          </w:p>
        </w:tc>
      </w:tr>
      <w:tr w:rsidR="00ED7F17" w:rsidTr="00ED7F17">
        <w:trPr>
          <w:trHeight w:val="246"/>
        </w:trPr>
        <w:tc>
          <w:tcPr>
            <w:tcW w:w="4674" w:type="dxa"/>
            <w:vMerge/>
            <w:tcBorders>
              <w:top w:val="single" w:sz="4" w:space="0" w:color="00000A"/>
              <w:left w:val="single" w:sz="4" w:space="0" w:color="00000A"/>
              <w:bottom w:val="single" w:sz="4" w:space="0" w:color="00000A"/>
              <w:right w:val="nil"/>
            </w:tcBorders>
            <w:vAlign w:val="center"/>
            <w:hideMark/>
          </w:tcPr>
          <w:p w:rsidR="00ED7F17" w:rsidRDefault="00ED7F17">
            <w:pPr>
              <w:suppressAutoHyphens w:val="0"/>
              <w:rPr>
                <w:rFonts w:ascii="Arial" w:eastAsia="Arial" w:hAnsi="Arial" w:cs="Arial"/>
                <w:sz w:val="22"/>
                <w:szCs w:val="22"/>
              </w:rPr>
            </w:pPr>
          </w:p>
        </w:tc>
        <w:tc>
          <w:tcPr>
            <w:tcW w:w="1980" w:type="dxa"/>
            <w:vMerge/>
            <w:tcBorders>
              <w:top w:val="single" w:sz="4" w:space="0" w:color="00000A"/>
              <w:left w:val="single" w:sz="4" w:space="0" w:color="00000A"/>
              <w:bottom w:val="single" w:sz="4" w:space="0" w:color="00000A"/>
              <w:right w:val="nil"/>
            </w:tcBorders>
            <w:vAlign w:val="center"/>
            <w:hideMark/>
          </w:tcPr>
          <w:p w:rsidR="00ED7F17" w:rsidRDefault="00ED7F17">
            <w:pPr>
              <w:suppressAutoHyphens w:val="0"/>
              <w:rPr>
                <w:rFonts w:ascii="Arial" w:eastAsia="Arial" w:hAnsi="Arial" w:cs="Arial"/>
                <w:sz w:val="22"/>
                <w:szCs w:val="22"/>
              </w:rPr>
            </w:pPr>
          </w:p>
        </w:tc>
        <w:tc>
          <w:tcPr>
            <w:tcW w:w="1583" w:type="dxa"/>
            <w:tcBorders>
              <w:top w:val="single" w:sz="4" w:space="0" w:color="00000A"/>
              <w:left w:val="single" w:sz="4" w:space="0" w:color="00000A"/>
              <w:bottom w:val="single" w:sz="4" w:space="0" w:color="00000A"/>
              <w:right w:val="nil"/>
            </w:tcBorders>
            <w:hideMark/>
          </w:tcPr>
          <w:p w:rsidR="00ED7F17" w:rsidRDefault="00ED7F17">
            <w:pPr>
              <w:jc w:val="center"/>
              <w:rPr>
                <w:rFonts w:ascii="Arial" w:eastAsia="Arial" w:hAnsi="Arial" w:cs="Arial"/>
                <w:sz w:val="22"/>
                <w:szCs w:val="22"/>
              </w:rPr>
            </w:pPr>
            <w:r>
              <w:rPr>
                <w:b/>
                <w:bCs/>
                <w:color w:val="000000"/>
                <w:sz w:val="20"/>
                <w:szCs w:val="20"/>
              </w:rPr>
              <w:t xml:space="preserve">  2018</w:t>
            </w:r>
          </w:p>
        </w:tc>
        <w:tc>
          <w:tcPr>
            <w:tcW w:w="1375" w:type="dxa"/>
            <w:tcBorders>
              <w:top w:val="single" w:sz="4" w:space="0" w:color="00000A"/>
              <w:left w:val="single" w:sz="4" w:space="0" w:color="00000A"/>
              <w:bottom w:val="single" w:sz="4" w:space="0" w:color="00000A"/>
              <w:right w:val="single" w:sz="4" w:space="0" w:color="00000A"/>
            </w:tcBorders>
            <w:hideMark/>
          </w:tcPr>
          <w:p w:rsidR="00ED7F17" w:rsidRDefault="00ED7F17">
            <w:pPr>
              <w:jc w:val="center"/>
              <w:rPr>
                <w:rFonts w:ascii="Arial" w:eastAsia="Arial" w:hAnsi="Arial" w:cs="Arial"/>
                <w:sz w:val="22"/>
                <w:szCs w:val="22"/>
              </w:rPr>
            </w:pPr>
            <w:r>
              <w:rPr>
                <w:b/>
                <w:bCs/>
                <w:color w:val="000000"/>
                <w:sz w:val="20"/>
                <w:szCs w:val="20"/>
              </w:rPr>
              <w:t>2017</w:t>
            </w:r>
          </w:p>
        </w:tc>
      </w:tr>
      <w:tr w:rsidR="00ED7F17" w:rsidTr="00ED7F17">
        <w:trPr>
          <w:trHeight w:val="399"/>
        </w:trPr>
        <w:tc>
          <w:tcPr>
            <w:tcW w:w="4674" w:type="dxa"/>
            <w:tcBorders>
              <w:top w:val="single" w:sz="4" w:space="0" w:color="00000A"/>
              <w:left w:val="single" w:sz="4" w:space="0" w:color="00000A"/>
              <w:bottom w:val="single" w:sz="4" w:space="0" w:color="00000A"/>
              <w:right w:val="nil"/>
            </w:tcBorders>
            <w:hideMark/>
          </w:tcPr>
          <w:p w:rsidR="00ED7F17" w:rsidRDefault="00ED7F17">
            <w:pPr>
              <w:rPr>
                <w:rFonts w:ascii="Arial" w:eastAsia="Arial" w:hAnsi="Arial" w:cs="Arial"/>
                <w:sz w:val="22"/>
                <w:szCs w:val="22"/>
              </w:rPr>
            </w:pPr>
            <w:r>
              <w:rPr>
                <w:b/>
                <w:bCs/>
                <w:color w:val="000000"/>
                <w:sz w:val="20"/>
                <w:szCs w:val="20"/>
              </w:rPr>
              <w:t xml:space="preserve">Доля больных с ОКС, госпитализированных в профильные отделения </w:t>
            </w:r>
          </w:p>
        </w:tc>
        <w:tc>
          <w:tcPr>
            <w:tcW w:w="1980" w:type="dxa"/>
            <w:tcBorders>
              <w:top w:val="single" w:sz="4" w:space="0" w:color="00000A"/>
              <w:left w:val="single" w:sz="4" w:space="0" w:color="00000A"/>
              <w:bottom w:val="single" w:sz="4" w:space="0" w:color="00000A"/>
              <w:right w:val="nil"/>
            </w:tcBorders>
            <w:hideMark/>
          </w:tcPr>
          <w:p w:rsidR="00ED7F17" w:rsidRDefault="00ED7F17">
            <w:pPr>
              <w:jc w:val="center"/>
              <w:rPr>
                <w:rFonts w:ascii="Arial" w:eastAsia="Arial" w:hAnsi="Arial" w:cs="Arial"/>
                <w:sz w:val="22"/>
                <w:szCs w:val="22"/>
              </w:rPr>
            </w:pPr>
            <w:r>
              <w:rPr>
                <w:color w:val="000000"/>
                <w:sz w:val="20"/>
                <w:szCs w:val="20"/>
              </w:rPr>
              <w:t>не менее 96%</w:t>
            </w:r>
          </w:p>
        </w:tc>
        <w:tc>
          <w:tcPr>
            <w:tcW w:w="1583" w:type="dxa"/>
            <w:tcBorders>
              <w:top w:val="single" w:sz="4" w:space="0" w:color="00000A"/>
              <w:left w:val="single" w:sz="4" w:space="0" w:color="00000A"/>
              <w:bottom w:val="single" w:sz="4" w:space="0" w:color="00000A"/>
              <w:right w:val="nil"/>
            </w:tcBorders>
            <w:hideMark/>
          </w:tcPr>
          <w:p w:rsidR="00ED7F17" w:rsidRDefault="00ED7F17">
            <w:pPr>
              <w:jc w:val="center"/>
              <w:rPr>
                <w:rFonts w:ascii="Arial" w:eastAsia="Arial" w:hAnsi="Arial" w:cs="Arial"/>
                <w:sz w:val="22"/>
                <w:szCs w:val="22"/>
              </w:rPr>
            </w:pPr>
            <w:r>
              <w:rPr>
                <w:color w:val="000000"/>
                <w:sz w:val="20"/>
                <w:szCs w:val="20"/>
              </w:rPr>
              <w:t>97,7</w:t>
            </w:r>
          </w:p>
        </w:tc>
        <w:tc>
          <w:tcPr>
            <w:tcW w:w="1375" w:type="dxa"/>
            <w:tcBorders>
              <w:top w:val="single" w:sz="4" w:space="0" w:color="00000A"/>
              <w:left w:val="single" w:sz="4" w:space="0" w:color="00000A"/>
              <w:bottom w:val="single" w:sz="4" w:space="0" w:color="00000A"/>
              <w:right w:val="single" w:sz="4" w:space="0" w:color="00000A"/>
            </w:tcBorders>
            <w:hideMark/>
          </w:tcPr>
          <w:p w:rsidR="00ED7F17" w:rsidRDefault="00ED7F17">
            <w:pPr>
              <w:jc w:val="center"/>
              <w:rPr>
                <w:rFonts w:ascii="Arial" w:eastAsia="Arial" w:hAnsi="Arial" w:cs="Arial"/>
                <w:sz w:val="22"/>
                <w:szCs w:val="22"/>
              </w:rPr>
            </w:pPr>
            <w:r>
              <w:rPr>
                <w:color w:val="000000"/>
                <w:sz w:val="20"/>
                <w:szCs w:val="20"/>
              </w:rPr>
              <w:t>97,9</w:t>
            </w:r>
          </w:p>
        </w:tc>
      </w:tr>
      <w:tr w:rsidR="00ED7F17" w:rsidTr="00ED7F17">
        <w:trPr>
          <w:trHeight w:val="511"/>
        </w:trPr>
        <w:tc>
          <w:tcPr>
            <w:tcW w:w="4674" w:type="dxa"/>
            <w:tcBorders>
              <w:top w:val="single" w:sz="4" w:space="0" w:color="00000A"/>
              <w:left w:val="single" w:sz="4" w:space="0" w:color="00000A"/>
              <w:bottom w:val="single" w:sz="4" w:space="0" w:color="00000A"/>
              <w:right w:val="nil"/>
            </w:tcBorders>
            <w:hideMark/>
          </w:tcPr>
          <w:p w:rsidR="00ED7F17" w:rsidRDefault="00ED7F17">
            <w:pPr>
              <w:rPr>
                <w:rFonts w:ascii="Arial" w:eastAsia="Arial" w:hAnsi="Arial" w:cs="Arial"/>
                <w:sz w:val="22"/>
                <w:szCs w:val="22"/>
              </w:rPr>
            </w:pPr>
            <w:r>
              <w:rPr>
                <w:b/>
                <w:bCs/>
                <w:color w:val="000000"/>
                <w:sz w:val="20"/>
                <w:szCs w:val="20"/>
              </w:rPr>
              <w:t>Доля больных с ОКСпST, которым выполнен тромболизис</w:t>
            </w:r>
          </w:p>
        </w:tc>
        <w:tc>
          <w:tcPr>
            <w:tcW w:w="1980" w:type="dxa"/>
            <w:tcBorders>
              <w:top w:val="single" w:sz="4" w:space="0" w:color="00000A"/>
              <w:left w:val="single" w:sz="4" w:space="0" w:color="00000A"/>
              <w:bottom w:val="single" w:sz="4" w:space="0" w:color="00000A"/>
              <w:right w:val="nil"/>
            </w:tcBorders>
            <w:hideMark/>
          </w:tcPr>
          <w:p w:rsidR="00ED7F17" w:rsidRDefault="00ED7F17">
            <w:pPr>
              <w:jc w:val="center"/>
              <w:rPr>
                <w:rFonts w:ascii="Arial" w:eastAsia="Arial" w:hAnsi="Arial" w:cs="Arial"/>
                <w:sz w:val="22"/>
                <w:szCs w:val="22"/>
              </w:rPr>
            </w:pPr>
            <w:r>
              <w:rPr>
                <w:color w:val="000000"/>
                <w:sz w:val="20"/>
                <w:szCs w:val="20"/>
              </w:rPr>
              <w:t>не менее 25%</w:t>
            </w:r>
          </w:p>
        </w:tc>
        <w:tc>
          <w:tcPr>
            <w:tcW w:w="1583" w:type="dxa"/>
            <w:tcBorders>
              <w:top w:val="single" w:sz="4" w:space="0" w:color="00000A"/>
              <w:left w:val="single" w:sz="4" w:space="0" w:color="00000A"/>
              <w:bottom w:val="single" w:sz="4" w:space="0" w:color="00000A"/>
              <w:right w:val="nil"/>
            </w:tcBorders>
            <w:hideMark/>
          </w:tcPr>
          <w:p w:rsidR="00ED7F17" w:rsidRDefault="00ED7F17">
            <w:pPr>
              <w:jc w:val="center"/>
              <w:rPr>
                <w:rFonts w:ascii="Arial" w:eastAsia="Arial" w:hAnsi="Arial" w:cs="Arial"/>
                <w:sz w:val="22"/>
                <w:szCs w:val="22"/>
              </w:rPr>
            </w:pPr>
            <w:r>
              <w:rPr>
                <w:color w:val="000000"/>
                <w:sz w:val="20"/>
                <w:szCs w:val="20"/>
              </w:rPr>
              <w:t>1,4</w:t>
            </w:r>
          </w:p>
        </w:tc>
        <w:tc>
          <w:tcPr>
            <w:tcW w:w="1375" w:type="dxa"/>
            <w:tcBorders>
              <w:top w:val="single" w:sz="4" w:space="0" w:color="00000A"/>
              <w:left w:val="single" w:sz="4" w:space="0" w:color="00000A"/>
              <w:bottom w:val="single" w:sz="4" w:space="0" w:color="00000A"/>
              <w:right w:val="single" w:sz="4" w:space="0" w:color="00000A"/>
            </w:tcBorders>
            <w:hideMark/>
          </w:tcPr>
          <w:p w:rsidR="00ED7F17" w:rsidRDefault="00ED7F17">
            <w:pPr>
              <w:jc w:val="center"/>
              <w:rPr>
                <w:rFonts w:ascii="Arial" w:eastAsia="Arial" w:hAnsi="Arial" w:cs="Arial"/>
                <w:sz w:val="22"/>
                <w:szCs w:val="22"/>
              </w:rPr>
            </w:pPr>
            <w:r>
              <w:rPr>
                <w:color w:val="000000"/>
                <w:sz w:val="20"/>
                <w:szCs w:val="20"/>
              </w:rPr>
              <w:t>2,5</w:t>
            </w:r>
          </w:p>
        </w:tc>
      </w:tr>
      <w:tr w:rsidR="00ED7F17" w:rsidTr="00ED7F17">
        <w:trPr>
          <w:trHeight w:val="278"/>
        </w:trPr>
        <w:tc>
          <w:tcPr>
            <w:tcW w:w="4674" w:type="dxa"/>
            <w:tcBorders>
              <w:top w:val="single" w:sz="4" w:space="0" w:color="00000A"/>
              <w:left w:val="single" w:sz="4" w:space="0" w:color="00000A"/>
              <w:bottom w:val="single" w:sz="4" w:space="0" w:color="00000A"/>
              <w:right w:val="nil"/>
            </w:tcBorders>
            <w:hideMark/>
          </w:tcPr>
          <w:p w:rsidR="00ED7F17" w:rsidRDefault="00ED7F17">
            <w:pPr>
              <w:rPr>
                <w:rFonts w:ascii="Arial" w:eastAsia="Arial" w:hAnsi="Arial" w:cs="Arial"/>
                <w:sz w:val="22"/>
                <w:szCs w:val="22"/>
              </w:rPr>
            </w:pPr>
            <w:r>
              <w:rPr>
                <w:b/>
                <w:bCs/>
                <w:i/>
                <w:iCs/>
                <w:color w:val="000000"/>
                <w:sz w:val="20"/>
                <w:szCs w:val="20"/>
              </w:rPr>
              <w:t xml:space="preserve">из них на догоспитальном этапе </w:t>
            </w:r>
          </w:p>
        </w:tc>
        <w:tc>
          <w:tcPr>
            <w:tcW w:w="1980" w:type="dxa"/>
            <w:tcBorders>
              <w:top w:val="single" w:sz="4" w:space="0" w:color="00000A"/>
              <w:left w:val="single" w:sz="4" w:space="0" w:color="00000A"/>
              <w:bottom w:val="single" w:sz="4" w:space="0" w:color="00000A"/>
              <w:right w:val="nil"/>
            </w:tcBorders>
            <w:hideMark/>
          </w:tcPr>
          <w:p w:rsidR="00ED7F17" w:rsidRDefault="00ED7F17">
            <w:pPr>
              <w:jc w:val="center"/>
              <w:rPr>
                <w:rFonts w:ascii="Arial" w:eastAsia="Arial" w:hAnsi="Arial" w:cs="Arial"/>
                <w:sz w:val="22"/>
                <w:szCs w:val="22"/>
              </w:rPr>
            </w:pPr>
            <w:r>
              <w:rPr>
                <w:i/>
                <w:iCs/>
                <w:color w:val="000000"/>
                <w:sz w:val="20"/>
                <w:szCs w:val="20"/>
              </w:rPr>
              <w:t>не менее 25%</w:t>
            </w:r>
          </w:p>
        </w:tc>
        <w:tc>
          <w:tcPr>
            <w:tcW w:w="1583" w:type="dxa"/>
            <w:tcBorders>
              <w:top w:val="single" w:sz="4" w:space="0" w:color="00000A"/>
              <w:left w:val="single" w:sz="4" w:space="0" w:color="00000A"/>
              <w:bottom w:val="single" w:sz="4" w:space="0" w:color="00000A"/>
              <w:right w:val="nil"/>
            </w:tcBorders>
            <w:hideMark/>
          </w:tcPr>
          <w:p w:rsidR="00ED7F17" w:rsidRDefault="00ED7F17">
            <w:pPr>
              <w:jc w:val="center"/>
              <w:rPr>
                <w:rFonts w:ascii="Arial" w:eastAsia="Arial" w:hAnsi="Arial" w:cs="Arial"/>
                <w:sz w:val="22"/>
                <w:szCs w:val="22"/>
              </w:rPr>
            </w:pPr>
            <w:r>
              <w:rPr>
                <w:i/>
                <w:iCs/>
                <w:color w:val="000000"/>
                <w:sz w:val="20"/>
                <w:szCs w:val="20"/>
              </w:rPr>
              <w:t>0</w:t>
            </w:r>
          </w:p>
        </w:tc>
        <w:tc>
          <w:tcPr>
            <w:tcW w:w="1375" w:type="dxa"/>
            <w:tcBorders>
              <w:top w:val="single" w:sz="4" w:space="0" w:color="00000A"/>
              <w:left w:val="single" w:sz="4" w:space="0" w:color="00000A"/>
              <w:bottom w:val="single" w:sz="4" w:space="0" w:color="00000A"/>
              <w:right w:val="single" w:sz="4" w:space="0" w:color="00000A"/>
            </w:tcBorders>
            <w:hideMark/>
          </w:tcPr>
          <w:p w:rsidR="00ED7F17" w:rsidRDefault="00ED7F17">
            <w:pPr>
              <w:jc w:val="center"/>
              <w:rPr>
                <w:rFonts w:ascii="Arial" w:eastAsia="Arial" w:hAnsi="Arial" w:cs="Arial"/>
                <w:sz w:val="22"/>
                <w:szCs w:val="22"/>
              </w:rPr>
            </w:pPr>
            <w:r>
              <w:rPr>
                <w:color w:val="000000"/>
                <w:sz w:val="20"/>
                <w:szCs w:val="20"/>
              </w:rPr>
              <w:t>0,0</w:t>
            </w:r>
          </w:p>
        </w:tc>
      </w:tr>
      <w:tr w:rsidR="00ED7F17" w:rsidTr="00ED7F17">
        <w:trPr>
          <w:trHeight w:val="693"/>
        </w:trPr>
        <w:tc>
          <w:tcPr>
            <w:tcW w:w="4674" w:type="dxa"/>
            <w:tcBorders>
              <w:top w:val="single" w:sz="4" w:space="0" w:color="00000A"/>
              <w:left w:val="single" w:sz="4" w:space="0" w:color="00000A"/>
              <w:bottom w:val="single" w:sz="4" w:space="0" w:color="00000A"/>
              <w:right w:val="nil"/>
            </w:tcBorders>
            <w:hideMark/>
          </w:tcPr>
          <w:p w:rsidR="00ED7F17" w:rsidRDefault="00ED7F17">
            <w:pPr>
              <w:rPr>
                <w:rFonts w:ascii="Arial" w:eastAsia="Arial" w:hAnsi="Arial" w:cs="Arial"/>
                <w:sz w:val="22"/>
                <w:szCs w:val="22"/>
              </w:rPr>
            </w:pPr>
            <w:r>
              <w:rPr>
                <w:b/>
                <w:bCs/>
                <w:color w:val="000000"/>
                <w:sz w:val="20"/>
                <w:szCs w:val="20"/>
              </w:rPr>
              <w:t>Доля случаев острого и повторного инфаркта миокарда, при которых выполнена коронарография</w:t>
            </w:r>
          </w:p>
        </w:tc>
        <w:tc>
          <w:tcPr>
            <w:tcW w:w="1980" w:type="dxa"/>
            <w:tcBorders>
              <w:top w:val="single" w:sz="4" w:space="0" w:color="00000A"/>
              <w:left w:val="single" w:sz="4" w:space="0" w:color="00000A"/>
              <w:bottom w:val="single" w:sz="4" w:space="0" w:color="00000A"/>
              <w:right w:val="nil"/>
            </w:tcBorders>
            <w:hideMark/>
          </w:tcPr>
          <w:p w:rsidR="00ED7F17" w:rsidRDefault="00ED7F17">
            <w:pPr>
              <w:jc w:val="center"/>
              <w:rPr>
                <w:rFonts w:ascii="Arial" w:eastAsia="Arial" w:hAnsi="Arial" w:cs="Arial"/>
                <w:sz w:val="22"/>
                <w:szCs w:val="22"/>
              </w:rPr>
            </w:pPr>
            <w:r>
              <w:rPr>
                <w:color w:val="000000"/>
                <w:sz w:val="20"/>
                <w:szCs w:val="20"/>
              </w:rPr>
              <w:t>не менее 90%</w:t>
            </w:r>
          </w:p>
        </w:tc>
        <w:tc>
          <w:tcPr>
            <w:tcW w:w="1583" w:type="dxa"/>
            <w:tcBorders>
              <w:top w:val="single" w:sz="4" w:space="0" w:color="00000A"/>
              <w:left w:val="single" w:sz="4" w:space="0" w:color="00000A"/>
              <w:bottom w:val="single" w:sz="4" w:space="0" w:color="00000A"/>
              <w:right w:val="nil"/>
            </w:tcBorders>
            <w:hideMark/>
          </w:tcPr>
          <w:p w:rsidR="00ED7F17" w:rsidRDefault="00ED7F17">
            <w:pPr>
              <w:jc w:val="center"/>
              <w:rPr>
                <w:rFonts w:ascii="Arial" w:eastAsia="Arial" w:hAnsi="Arial" w:cs="Arial"/>
                <w:sz w:val="22"/>
                <w:szCs w:val="22"/>
              </w:rPr>
            </w:pPr>
            <w:r>
              <w:rPr>
                <w:color w:val="000000"/>
                <w:sz w:val="20"/>
                <w:szCs w:val="20"/>
              </w:rPr>
              <w:t>93,6</w:t>
            </w:r>
          </w:p>
        </w:tc>
        <w:tc>
          <w:tcPr>
            <w:tcW w:w="1375" w:type="dxa"/>
            <w:tcBorders>
              <w:top w:val="single" w:sz="4" w:space="0" w:color="00000A"/>
              <w:left w:val="single" w:sz="4" w:space="0" w:color="00000A"/>
              <w:bottom w:val="single" w:sz="4" w:space="0" w:color="00000A"/>
              <w:right w:val="single" w:sz="4" w:space="0" w:color="00000A"/>
            </w:tcBorders>
            <w:hideMark/>
          </w:tcPr>
          <w:p w:rsidR="00ED7F17" w:rsidRDefault="00ED7F17">
            <w:pPr>
              <w:jc w:val="center"/>
              <w:rPr>
                <w:rFonts w:ascii="Arial" w:eastAsia="Arial" w:hAnsi="Arial" w:cs="Arial"/>
                <w:sz w:val="22"/>
                <w:szCs w:val="22"/>
              </w:rPr>
            </w:pPr>
            <w:r>
              <w:rPr>
                <w:color w:val="000000"/>
                <w:sz w:val="20"/>
                <w:szCs w:val="20"/>
              </w:rPr>
              <w:t>76,5</w:t>
            </w:r>
          </w:p>
        </w:tc>
      </w:tr>
      <w:tr w:rsidR="00ED7F17" w:rsidTr="00ED7F17">
        <w:trPr>
          <w:trHeight w:val="419"/>
        </w:trPr>
        <w:tc>
          <w:tcPr>
            <w:tcW w:w="4674" w:type="dxa"/>
            <w:tcBorders>
              <w:top w:val="single" w:sz="4" w:space="0" w:color="00000A"/>
              <w:left w:val="single" w:sz="4" w:space="0" w:color="00000A"/>
              <w:bottom w:val="single" w:sz="4" w:space="0" w:color="00000A"/>
              <w:right w:val="nil"/>
            </w:tcBorders>
            <w:hideMark/>
          </w:tcPr>
          <w:p w:rsidR="00ED7F17" w:rsidRDefault="00ED7F17">
            <w:pPr>
              <w:rPr>
                <w:rFonts w:ascii="Arial" w:eastAsia="Arial" w:hAnsi="Arial" w:cs="Arial"/>
                <w:sz w:val="22"/>
                <w:szCs w:val="22"/>
              </w:rPr>
            </w:pPr>
            <w:r>
              <w:rPr>
                <w:b/>
                <w:bCs/>
                <w:color w:val="000000"/>
                <w:sz w:val="20"/>
                <w:szCs w:val="20"/>
              </w:rPr>
              <w:t>Доля случаев нестабильной стенокардии, при которых выполнена коронарография</w:t>
            </w:r>
          </w:p>
        </w:tc>
        <w:tc>
          <w:tcPr>
            <w:tcW w:w="1980" w:type="dxa"/>
            <w:tcBorders>
              <w:top w:val="single" w:sz="4" w:space="0" w:color="00000A"/>
              <w:left w:val="single" w:sz="4" w:space="0" w:color="00000A"/>
              <w:bottom w:val="single" w:sz="4" w:space="0" w:color="00000A"/>
              <w:right w:val="nil"/>
            </w:tcBorders>
            <w:hideMark/>
          </w:tcPr>
          <w:p w:rsidR="00ED7F17" w:rsidRDefault="00ED7F17">
            <w:pPr>
              <w:jc w:val="center"/>
              <w:rPr>
                <w:rFonts w:ascii="Arial" w:eastAsia="Arial" w:hAnsi="Arial" w:cs="Arial"/>
                <w:sz w:val="22"/>
                <w:szCs w:val="22"/>
              </w:rPr>
            </w:pPr>
            <w:r>
              <w:rPr>
                <w:color w:val="000000"/>
                <w:sz w:val="20"/>
                <w:szCs w:val="20"/>
              </w:rPr>
              <w:t>не менее 80%</w:t>
            </w:r>
          </w:p>
        </w:tc>
        <w:tc>
          <w:tcPr>
            <w:tcW w:w="1583" w:type="dxa"/>
            <w:tcBorders>
              <w:top w:val="single" w:sz="4" w:space="0" w:color="00000A"/>
              <w:left w:val="single" w:sz="4" w:space="0" w:color="00000A"/>
              <w:bottom w:val="single" w:sz="4" w:space="0" w:color="00000A"/>
              <w:right w:val="nil"/>
            </w:tcBorders>
            <w:hideMark/>
          </w:tcPr>
          <w:p w:rsidR="00ED7F17" w:rsidRDefault="00ED7F17">
            <w:pPr>
              <w:jc w:val="center"/>
              <w:rPr>
                <w:rFonts w:ascii="Arial" w:eastAsia="Arial" w:hAnsi="Arial" w:cs="Arial"/>
                <w:sz w:val="22"/>
                <w:szCs w:val="22"/>
              </w:rPr>
            </w:pPr>
            <w:r>
              <w:rPr>
                <w:color w:val="000000"/>
                <w:sz w:val="20"/>
                <w:szCs w:val="20"/>
              </w:rPr>
              <w:t>90,8</w:t>
            </w:r>
          </w:p>
        </w:tc>
        <w:tc>
          <w:tcPr>
            <w:tcW w:w="1375" w:type="dxa"/>
            <w:tcBorders>
              <w:top w:val="single" w:sz="4" w:space="0" w:color="00000A"/>
              <w:left w:val="single" w:sz="4" w:space="0" w:color="00000A"/>
              <w:bottom w:val="single" w:sz="4" w:space="0" w:color="00000A"/>
              <w:right w:val="single" w:sz="4" w:space="0" w:color="00000A"/>
            </w:tcBorders>
            <w:hideMark/>
          </w:tcPr>
          <w:p w:rsidR="00ED7F17" w:rsidRDefault="00ED7F17">
            <w:pPr>
              <w:jc w:val="center"/>
              <w:rPr>
                <w:rFonts w:ascii="Arial" w:eastAsia="Arial" w:hAnsi="Arial" w:cs="Arial"/>
                <w:sz w:val="22"/>
                <w:szCs w:val="22"/>
              </w:rPr>
            </w:pPr>
            <w:r>
              <w:rPr>
                <w:color w:val="000000"/>
                <w:sz w:val="20"/>
                <w:szCs w:val="20"/>
              </w:rPr>
              <w:t>83,7</w:t>
            </w:r>
          </w:p>
        </w:tc>
      </w:tr>
      <w:tr w:rsidR="00ED7F17" w:rsidTr="00ED7F17">
        <w:trPr>
          <w:trHeight w:val="525"/>
        </w:trPr>
        <w:tc>
          <w:tcPr>
            <w:tcW w:w="4674" w:type="dxa"/>
            <w:tcBorders>
              <w:top w:val="single" w:sz="4" w:space="0" w:color="00000A"/>
              <w:left w:val="single" w:sz="4" w:space="0" w:color="00000A"/>
              <w:bottom w:val="single" w:sz="4" w:space="0" w:color="00000A"/>
              <w:right w:val="nil"/>
            </w:tcBorders>
            <w:hideMark/>
          </w:tcPr>
          <w:p w:rsidR="00ED7F17" w:rsidRDefault="00ED7F17">
            <w:pPr>
              <w:rPr>
                <w:rFonts w:ascii="Arial" w:eastAsia="Arial" w:hAnsi="Arial" w:cs="Arial"/>
                <w:sz w:val="22"/>
                <w:szCs w:val="22"/>
              </w:rPr>
            </w:pPr>
            <w:r>
              <w:rPr>
                <w:b/>
                <w:bCs/>
                <w:color w:val="000000"/>
                <w:sz w:val="20"/>
                <w:szCs w:val="20"/>
              </w:rPr>
              <w:t xml:space="preserve">Доля пациентов с ОКС, которым выполнена ангиопластика коронарных артерий </w:t>
            </w:r>
          </w:p>
        </w:tc>
        <w:tc>
          <w:tcPr>
            <w:tcW w:w="1980" w:type="dxa"/>
            <w:tcBorders>
              <w:top w:val="single" w:sz="4" w:space="0" w:color="00000A"/>
              <w:left w:val="single" w:sz="4" w:space="0" w:color="00000A"/>
              <w:bottom w:val="single" w:sz="4" w:space="0" w:color="00000A"/>
              <w:right w:val="nil"/>
            </w:tcBorders>
            <w:hideMark/>
          </w:tcPr>
          <w:p w:rsidR="00ED7F17" w:rsidRDefault="00ED7F17">
            <w:pPr>
              <w:jc w:val="center"/>
              <w:rPr>
                <w:rFonts w:ascii="Arial" w:eastAsia="Arial" w:hAnsi="Arial" w:cs="Arial"/>
                <w:sz w:val="22"/>
                <w:szCs w:val="22"/>
              </w:rPr>
            </w:pPr>
            <w:r>
              <w:rPr>
                <w:color w:val="000000"/>
                <w:sz w:val="20"/>
                <w:szCs w:val="20"/>
              </w:rPr>
              <w:t xml:space="preserve">не менее  30% </w:t>
            </w:r>
          </w:p>
        </w:tc>
        <w:tc>
          <w:tcPr>
            <w:tcW w:w="1583" w:type="dxa"/>
            <w:tcBorders>
              <w:top w:val="single" w:sz="4" w:space="0" w:color="00000A"/>
              <w:left w:val="single" w:sz="4" w:space="0" w:color="00000A"/>
              <w:bottom w:val="single" w:sz="4" w:space="0" w:color="00000A"/>
              <w:right w:val="nil"/>
            </w:tcBorders>
            <w:hideMark/>
          </w:tcPr>
          <w:p w:rsidR="00ED7F17" w:rsidRDefault="00ED7F17">
            <w:pPr>
              <w:jc w:val="center"/>
              <w:rPr>
                <w:rFonts w:ascii="Arial" w:eastAsia="Arial" w:hAnsi="Arial" w:cs="Arial"/>
                <w:sz w:val="22"/>
                <w:szCs w:val="22"/>
              </w:rPr>
            </w:pPr>
            <w:r>
              <w:rPr>
                <w:color w:val="000000"/>
                <w:sz w:val="20"/>
                <w:szCs w:val="20"/>
              </w:rPr>
              <w:t>53,0</w:t>
            </w:r>
          </w:p>
        </w:tc>
        <w:tc>
          <w:tcPr>
            <w:tcW w:w="1375" w:type="dxa"/>
            <w:tcBorders>
              <w:top w:val="single" w:sz="4" w:space="0" w:color="00000A"/>
              <w:left w:val="single" w:sz="4" w:space="0" w:color="00000A"/>
              <w:bottom w:val="single" w:sz="4" w:space="0" w:color="00000A"/>
              <w:right w:val="single" w:sz="4" w:space="0" w:color="00000A"/>
            </w:tcBorders>
            <w:hideMark/>
          </w:tcPr>
          <w:p w:rsidR="00ED7F17" w:rsidRDefault="00ED7F17">
            <w:pPr>
              <w:jc w:val="center"/>
              <w:rPr>
                <w:rFonts w:ascii="Arial" w:eastAsia="Arial" w:hAnsi="Arial" w:cs="Arial"/>
                <w:sz w:val="22"/>
                <w:szCs w:val="22"/>
              </w:rPr>
            </w:pPr>
            <w:r>
              <w:rPr>
                <w:color w:val="000000"/>
                <w:sz w:val="20"/>
                <w:szCs w:val="20"/>
              </w:rPr>
              <w:t>43,9</w:t>
            </w:r>
          </w:p>
        </w:tc>
      </w:tr>
      <w:tr w:rsidR="00ED7F17" w:rsidTr="00ED7F17">
        <w:trPr>
          <w:trHeight w:val="263"/>
        </w:trPr>
        <w:tc>
          <w:tcPr>
            <w:tcW w:w="4674" w:type="dxa"/>
            <w:tcBorders>
              <w:top w:val="single" w:sz="4" w:space="0" w:color="00000A"/>
              <w:left w:val="single" w:sz="4" w:space="0" w:color="00000A"/>
              <w:bottom w:val="single" w:sz="4" w:space="0" w:color="00000A"/>
              <w:right w:val="nil"/>
            </w:tcBorders>
            <w:hideMark/>
          </w:tcPr>
          <w:p w:rsidR="00ED7F17" w:rsidRDefault="00ED7F17">
            <w:pPr>
              <w:rPr>
                <w:rFonts w:ascii="Arial" w:eastAsia="Arial" w:hAnsi="Arial" w:cs="Arial"/>
                <w:sz w:val="22"/>
                <w:szCs w:val="22"/>
              </w:rPr>
            </w:pPr>
            <w:r>
              <w:rPr>
                <w:b/>
                <w:bCs/>
                <w:i/>
                <w:iCs/>
                <w:color w:val="000000"/>
                <w:sz w:val="20"/>
                <w:szCs w:val="20"/>
              </w:rPr>
              <w:t xml:space="preserve">В т.ч. при нестабильной стенокардии </w:t>
            </w:r>
          </w:p>
        </w:tc>
        <w:tc>
          <w:tcPr>
            <w:tcW w:w="1980" w:type="dxa"/>
            <w:tcBorders>
              <w:top w:val="single" w:sz="4" w:space="0" w:color="00000A"/>
              <w:left w:val="single" w:sz="4" w:space="0" w:color="00000A"/>
              <w:bottom w:val="single" w:sz="4" w:space="0" w:color="00000A"/>
              <w:right w:val="nil"/>
            </w:tcBorders>
            <w:hideMark/>
          </w:tcPr>
          <w:p w:rsidR="00ED7F17" w:rsidRDefault="00ED7F17">
            <w:pPr>
              <w:jc w:val="center"/>
              <w:rPr>
                <w:rFonts w:ascii="Arial" w:eastAsia="Arial" w:hAnsi="Arial" w:cs="Arial"/>
                <w:sz w:val="22"/>
                <w:szCs w:val="22"/>
              </w:rPr>
            </w:pPr>
            <w:r>
              <w:rPr>
                <w:color w:val="000000"/>
                <w:sz w:val="20"/>
                <w:szCs w:val="20"/>
              </w:rPr>
              <w:t xml:space="preserve">не менее </w:t>
            </w:r>
            <w:r>
              <w:rPr>
                <w:i/>
                <w:iCs/>
                <w:color w:val="000000"/>
                <w:sz w:val="20"/>
                <w:szCs w:val="20"/>
              </w:rPr>
              <w:t xml:space="preserve">25% </w:t>
            </w:r>
          </w:p>
        </w:tc>
        <w:tc>
          <w:tcPr>
            <w:tcW w:w="1583" w:type="dxa"/>
            <w:tcBorders>
              <w:top w:val="single" w:sz="4" w:space="0" w:color="00000A"/>
              <w:left w:val="single" w:sz="4" w:space="0" w:color="00000A"/>
              <w:bottom w:val="single" w:sz="4" w:space="0" w:color="00000A"/>
              <w:right w:val="nil"/>
            </w:tcBorders>
            <w:hideMark/>
          </w:tcPr>
          <w:p w:rsidR="00ED7F17" w:rsidRDefault="00ED7F17">
            <w:pPr>
              <w:jc w:val="center"/>
              <w:rPr>
                <w:rFonts w:ascii="Arial" w:eastAsia="Arial" w:hAnsi="Arial" w:cs="Arial"/>
                <w:sz w:val="22"/>
                <w:szCs w:val="22"/>
              </w:rPr>
            </w:pPr>
            <w:r>
              <w:rPr>
                <w:color w:val="000000"/>
                <w:sz w:val="20"/>
                <w:szCs w:val="20"/>
              </w:rPr>
              <w:t>34,0</w:t>
            </w:r>
          </w:p>
        </w:tc>
        <w:tc>
          <w:tcPr>
            <w:tcW w:w="1375" w:type="dxa"/>
            <w:tcBorders>
              <w:top w:val="single" w:sz="4" w:space="0" w:color="00000A"/>
              <w:left w:val="single" w:sz="4" w:space="0" w:color="00000A"/>
              <w:bottom w:val="single" w:sz="4" w:space="0" w:color="00000A"/>
              <w:right w:val="single" w:sz="4" w:space="0" w:color="00000A"/>
            </w:tcBorders>
            <w:hideMark/>
          </w:tcPr>
          <w:p w:rsidR="00ED7F17" w:rsidRDefault="00ED7F17">
            <w:pPr>
              <w:jc w:val="center"/>
              <w:rPr>
                <w:rFonts w:ascii="Arial" w:eastAsia="Arial" w:hAnsi="Arial" w:cs="Arial"/>
                <w:sz w:val="22"/>
                <w:szCs w:val="22"/>
              </w:rPr>
            </w:pPr>
            <w:r>
              <w:rPr>
                <w:color w:val="000000"/>
                <w:sz w:val="20"/>
                <w:szCs w:val="20"/>
              </w:rPr>
              <w:t>36,1</w:t>
            </w:r>
          </w:p>
        </w:tc>
      </w:tr>
      <w:tr w:rsidR="00ED7F17" w:rsidTr="00ED7F17">
        <w:trPr>
          <w:trHeight w:val="268"/>
        </w:trPr>
        <w:tc>
          <w:tcPr>
            <w:tcW w:w="4674" w:type="dxa"/>
            <w:tcBorders>
              <w:top w:val="single" w:sz="4" w:space="0" w:color="00000A"/>
              <w:left w:val="single" w:sz="4" w:space="0" w:color="00000A"/>
              <w:bottom w:val="single" w:sz="4" w:space="0" w:color="00000A"/>
              <w:right w:val="nil"/>
            </w:tcBorders>
            <w:hideMark/>
          </w:tcPr>
          <w:p w:rsidR="00ED7F17" w:rsidRDefault="00ED7F17">
            <w:pPr>
              <w:rPr>
                <w:rFonts w:ascii="Arial" w:eastAsia="Arial" w:hAnsi="Arial" w:cs="Arial"/>
                <w:sz w:val="22"/>
                <w:szCs w:val="22"/>
              </w:rPr>
            </w:pPr>
            <w:r>
              <w:rPr>
                <w:b/>
                <w:bCs/>
                <w:i/>
                <w:iCs/>
                <w:color w:val="000000"/>
                <w:sz w:val="20"/>
                <w:szCs w:val="20"/>
              </w:rPr>
              <w:t xml:space="preserve">при остром и повторном инфаркте </w:t>
            </w:r>
          </w:p>
        </w:tc>
        <w:tc>
          <w:tcPr>
            <w:tcW w:w="1980" w:type="dxa"/>
            <w:tcBorders>
              <w:top w:val="single" w:sz="4" w:space="0" w:color="00000A"/>
              <w:left w:val="single" w:sz="4" w:space="0" w:color="00000A"/>
              <w:bottom w:val="single" w:sz="4" w:space="0" w:color="00000A"/>
              <w:right w:val="nil"/>
            </w:tcBorders>
            <w:hideMark/>
          </w:tcPr>
          <w:p w:rsidR="00ED7F17" w:rsidRDefault="00ED7F17">
            <w:pPr>
              <w:jc w:val="center"/>
              <w:rPr>
                <w:rFonts w:ascii="Arial" w:eastAsia="Arial" w:hAnsi="Arial" w:cs="Arial"/>
                <w:sz w:val="22"/>
                <w:szCs w:val="22"/>
              </w:rPr>
            </w:pPr>
            <w:r>
              <w:rPr>
                <w:color w:val="000000"/>
                <w:sz w:val="20"/>
                <w:szCs w:val="20"/>
              </w:rPr>
              <w:t>не менее 40</w:t>
            </w:r>
            <w:r>
              <w:rPr>
                <w:i/>
                <w:iCs/>
                <w:color w:val="000000"/>
                <w:sz w:val="20"/>
                <w:szCs w:val="20"/>
              </w:rPr>
              <w:t xml:space="preserve">% </w:t>
            </w:r>
          </w:p>
        </w:tc>
        <w:tc>
          <w:tcPr>
            <w:tcW w:w="1583" w:type="dxa"/>
            <w:tcBorders>
              <w:top w:val="single" w:sz="4" w:space="0" w:color="00000A"/>
              <w:left w:val="single" w:sz="4" w:space="0" w:color="00000A"/>
              <w:bottom w:val="single" w:sz="4" w:space="0" w:color="00000A"/>
              <w:right w:val="nil"/>
            </w:tcBorders>
            <w:hideMark/>
          </w:tcPr>
          <w:p w:rsidR="00ED7F17" w:rsidRDefault="00ED7F17">
            <w:pPr>
              <w:jc w:val="center"/>
              <w:rPr>
                <w:rFonts w:ascii="Arial" w:eastAsia="Arial" w:hAnsi="Arial" w:cs="Arial"/>
                <w:sz w:val="22"/>
                <w:szCs w:val="22"/>
              </w:rPr>
            </w:pPr>
            <w:r>
              <w:rPr>
                <w:color w:val="000000"/>
                <w:sz w:val="20"/>
                <w:szCs w:val="20"/>
              </w:rPr>
              <w:t>57,6</w:t>
            </w:r>
          </w:p>
        </w:tc>
        <w:tc>
          <w:tcPr>
            <w:tcW w:w="1375" w:type="dxa"/>
            <w:tcBorders>
              <w:top w:val="single" w:sz="4" w:space="0" w:color="00000A"/>
              <w:left w:val="single" w:sz="4" w:space="0" w:color="00000A"/>
              <w:bottom w:val="single" w:sz="4" w:space="0" w:color="00000A"/>
              <w:right w:val="single" w:sz="4" w:space="0" w:color="00000A"/>
            </w:tcBorders>
            <w:hideMark/>
          </w:tcPr>
          <w:p w:rsidR="00ED7F17" w:rsidRDefault="00ED7F17">
            <w:pPr>
              <w:jc w:val="center"/>
              <w:rPr>
                <w:rFonts w:ascii="Arial" w:eastAsia="Arial" w:hAnsi="Arial" w:cs="Arial"/>
                <w:sz w:val="22"/>
                <w:szCs w:val="22"/>
              </w:rPr>
            </w:pPr>
            <w:r>
              <w:rPr>
                <w:color w:val="000000"/>
                <w:sz w:val="20"/>
                <w:szCs w:val="20"/>
              </w:rPr>
              <w:t>45,3</w:t>
            </w:r>
          </w:p>
        </w:tc>
      </w:tr>
      <w:tr w:rsidR="00ED7F17" w:rsidTr="00ED7F17">
        <w:trPr>
          <w:trHeight w:val="569"/>
        </w:trPr>
        <w:tc>
          <w:tcPr>
            <w:tcW w:w="4674" w:type="dxa"/>
            <w:tcBorders>
              <w:top w:val="single" w:sz="4" w:space="0" w:color="00000A"/>
              <w:left w:val="single" w:sz="4" w:space="0" w:color="00000A"/>
              <w:bottom w:val="single" w:sz="4" w:space="0" w:color="00000A"/>
              <w:right w:val="nil"/>
            </w:tcBorders>
            <w:hideMark/>
          </w:tcPr>
          <w:p w:rsidR="00ED7F17" w:rsidRDefault="00ED7F17">
            <w:pPr>
              <w:rPr>
                <w:rFonts w:ascii="Arial" w:eastAsia="Arial" w:hAnsi="Arial" w:cs="Arial"/>
                <w:sz w:val="22"/>
                <w:szCs w:val="22"/>
              </w:rPr>
            </w:pPr>
            <w:r>
              <w:rPr>
                <w:b/>
                <w:bCs/>
                <w:color w:val="000000"/>
                <w:sz w:val="20"/>
                <w:szCs w:val="20"/>
              </w:rPr>
              <w:t xml:space="preserve">Доля пациентов с ОКСпST, которым выполнена ангиопластика коронарных артерий </w:t>
            </w:r>
          </w:p>
        </w:tc>
        <w:tc>
          <w:tcPr>
            <w:tcW w:w="1980" w:type="dxa"/>
            <w:tcBorders>
              <w:top w:val="single" w:sz="4" w:space="0" w:color="00000A"/>
              <w:left w:val="single" w:sz="4" w:space="0" w:color="00000A"/>
              <w:bottom w:val="single" w:sz="4" w:space="0" w:color="00000A"/>
              <w:right w:val="nil"/>
            </w:tcBorders>
            <w:hideMark/>
          </w:tcPr>
          <w:p w:rsidR="00ED7F17" w:rsidRDefault="00ED7F17">
            <w:pPr>
              <w:jc w:val="center"/>
              <w:rPr>
                <w:rFonts w:ascii="Arial" w:eastAsia="Arial" w:hAnsi="Arial" w:cs="Arial"/>
                <w:sz w:val="22"/>
                <w:szCs w:val="22"/>
              </w:rPr>
            </w:pPr>
            <w:r>
              <w:rPr>
                <w:color w:val="000000"/>
                <w:sz w:val="20"/>
                <w:szCs w:val="20"/>
              </w:rPr>
              <w:t xml:space="preserve">не менее 55 % </w:t>
            </w:r>
          </w:p>
        </w:tc>
        <w:tc>
          <w:tcPr>
            <w:tcW w:w="1583" w:type="dxa"/>
            <w:tcBorders>
              <w:top w:val="single" w:sz="4" w:space="0" w:color="00000A"/>
              <w:left w:val="single" w:sz="4" w:space="0" w:color="00000A"/>
              <w:bottom w:val="single" w:sz="4" w:space="0" w:color="00000A"/>
              <w:right w:val="nil"/>
            </w:tcBorders>
            <w:hideMark/>
          </w:tcPr>
          <w:p w:rsidR="00ED7F17" w:rsidRDefault="00ED7F17">
            <w:pPr>
              <w:jc w:val="center"/>
              <w:rPr>
                <w:rFonts w:ascii="Arial" w:eastAsia="Arial" w:hAnsi="Arial" w:cs="Arial"/>
                <w:sz w:val="22"/>
                <w:szCs w:val="22"/>
              </w:rPr>
            </w:pPr>
            <w:r>
              <w:rPr>
                <w:color w:val="000000"/>
                <w:sz w:val="20"/>
                <w:szCs w:val="20"/>
              </w:rPr>
              <w:t>64,9</w:t>
            </w:r>
          </w:p>
        </w:tc>
        <w:tc>
          <w:tcPr>
            <w:tcW w:w="1375" w:type="dxa"/>
            <w:tcBorders>
              <w:top w:val="single" w:sz="4" w:space="0" w:color="00000A"/>
              <w:left w:val="single" w:sz="4" w:space="0" w:color="00000A"/>
              <w:bottom w:val="single" w:sz="4" w:space="0" w:color="00000A"/>
              <w:right w:val="single" w:sz="4" w:space="0" w:color="00000A"/>
            </w:tcBorders>
            <w:hideMark/>
          </w:tcPr>
          <w:p w:rsidR="00ED7F17" w:rsidRDefault="00ED7F17">
            <w:pPr>
              <w:jc w:val="center"/>
              <w:rPr>
                <w:rFonts w:ascii="Arial" w:eastAsia="Arial" w:hAnsi="Arial" w:cs="Arial"/>
                <w:sz w:val="22"/>
                <w:szCs w:val="22"/>
              </w:rPr>
            </w:pPr>
            <w:r>
              <w:rPr>
                <w:color w:val="000000"/>
                <w:sz w:val="20"/>
                <w:szCs w:val="20"/>
              </w:rPr>
              <w:t>46,9</w:t>
            </w:r>
          </w:p>
        </w:tc>
      </w:tr>
      <w:tr w:rsidR="00ED7F17" w:rsidTr="00ED7F17">
        <w:trPr>
          <w:trHeight w:val="795"/>
        </w:trPr>
        <w:tc>
          <w:tcPr>
            <w:tcW w:w="4674" w:type="dxa"/>
            <w:tcBorders>
              <w:top w:val="single" w:sz="4" w:space="0" w:color="00000A"/>
              <w:left w:val="single" w:sz="4" w:space="0" w:color="00000A"/>
              <w:bottom w:val="single" w:sz="4" w:space="0" w:color="00000A"/>
              <w:right w:val="nil"/>
            </w:tcBorders>
            <w:hideMark/>
          </w:tcPr>
          <w:p w:rsidR="00ED7F17" w:rsidRDefault="00ED7F17">
            <w:pPr>
              <w:rPr>
                <w:rFonts w:ascii="Arial" w:eastAsia="Arial" w:hAnsi="Arial" w:cs="Arial"/>
                <w:sz w:val="22"/>
                <w:szCs w:val="22"/>
              </w:rPr>
            </w:pPr>
            <w:r>
              <w:rPr>
                <w:b/>
                <w:bCs/>
                <w:color w:val="000000"/>
                <w:sz w:val="20"/>
                <w:szCs w:val="20"/>
              </w:rPr>
              <w:t>Доля пациентов с ОКСбпST, которым выполнена ангиопластика и/или стентирование коронарных артерий</w:t>
            </w:r>
          </w:p>
        </w:tc>
        <w:tc>
          <w:tcPr>
            <w:tcW w:w="1980" w:type="dxa"/>
            <w:tcBorders>
              <w:top w:val="single" w:sz="4" w:space="0" w:color="00000A"/>
              <w:left w:val="single" w:sz="4" w:space="0" w:color="00000A"/>
              <w:bottom w:val="single" w:sz="4" w:space="0" w:color="00000A"/>
              <w:right w:val="nil"/>
            </w:tcBorders>
            <w:hideMark/>
          </w:tcPr>
          <w:p w:rsidR="00ED7F17" w:rsidRDefault="00ED7F17">
            <w:pPr>
              <w:jc w:val="center"/>
              <w:rPr>
                <w:rFonts w:ascii="Arial" w:eastAsia="Arial" w:hAnsi="Arial" w:cs="Arial"/>
                <w:sz w:val="22"/>
                <w:szCs w:val="22"/>
              </w:rPr>
            </w:pPr>
            <w:r>
              <w:rPr>
                <w:color w:val="000000"/>
                <w:sz w:val="20"/>
                <w:szCs w:val="20"/>
              </w:rPr>
              <w:t xml:space="preserve">не менее 35 % </w:t>
            </w:r>
          </w:p>
        </w:tc>
        <w:tc>
          <w:tcPr>
            <w:tcW w:w="1583" w:type="dxa"/>
            <w:tcBorders>
              <w:top w:val="single" w:sz="4" w:space="0" w:color="00000A"/>
              <w:left w:val="single" w:sz="4" w:space="0" w:color="00000A"/>
              <w:bottom w:val="single" w:sz="4" w:space="0" w:color="00000A"/>
              <w:right w:val="nil"/>
            </w:tcBorders>
            <w:hideMark/>
          </w:tcPr>
          <w:p w:rsidR="00ED7F17" w:rsidRDefault="00ED7F17">
            <w:pPr>
              <w:jc w:val="center"/>
              <w:rPr>
                <w:rFonts w:ascii="Arial" w:eastAsia="Arial" w:hAnsi="Arial" w:cs="Arial"/>
                <w:sz w:val="22"/>
                <w:szCs w:val="22"/>
              </w:rPr>
            </w:pPr>
            <w:r>
              <w:rPr>
                <w:color w:val="000000"/>
                <w:sz w:val="20"/>
                <w:szCs w:val="20"/>
              </w:rPr>
              <w:t>38,3</w:t>
            </w:r>
          </w:p>
        </w:tc>
        <w:tc>
          <w:tcPr>
            <w:tcW w:w="1375" w:type="dxa"/>
            <w:tcBorders>
              <w:top w:val="single" w:sz="4" w:space="0" w:color="00000A"/>
              <w:left w:val="single" w:sz="4" w:space="0" w:color="00000A"/>
              <w:bottom w:val="single" w:sz="4" w:space="0" w:color="00000A"/>
              <w:right w:val="single" w:sz="4" w:space="0" w:color="00000A"/>
            </w:tcBorders>
            <w:hideMark/>
          </w:tcPr>
          <w:p w:rsidR="00ED7F17" w:rsidRDefault="00ED7F17">
            <w:pPr>
              <w:jc w:val="center"/>
              <w:rPr>
                <w:rFonts w:ascii="Arial" w:eastAsia="Arial" w:hAnsi="Arial" w:cs="Arial"/>
                <w:sz w:val="22"/>
                <w:szCs w:val="22"/>
              </w:rPr>
            </w:pPr>
            <w:r>
              <w:rPr>
                <w:color w:val="000000"/>
                <w:sz w:val="20"/>
                <w:szCs w:val="20"/>
              </w:rPr>
              <w:t>40,7</w:t>
            </w:r>
          </w:p>
        </w:tc>
      </w:tr>
      <w:tr w:rsidR="00ED7F17" w:rsidTr="00ED7F17">
        <w:trPr>
          <w:trHeight w:val="273"/>
        </w:trPr>
        <w:tc>
          <w:tcPr>
            <w:tcW w:w="4674" w:type="dxa"/>
            <w:tcBorders>
              <w:top w:val="single" w:sz="4" w:space="0" w:color="00000A"/>
              <w:left w:val="single" w:sz="4" w:space="0" w:color="00000A"/>
              <w:bottom w:val="single" w:sz="4" w:space="0" w:color="00000A"/>
              <w:right w:val="nil"/>
            </w:tcBorders>
            <w:hideMark/>
          </w:tcPr>
          <w:p w:rsidR="00ED7F17" w:rsidRDefault="00ED7F17">
            <w:pPr>
              <w:rPr>
                <w:rFonts w:ascii="Arial" w:eastAsia="Arial" w:hAnsi="Arial" w:cs="Arial"/>
                <w:sz w:val="22"/>
                <w:szCs w:val="22"/>
              </w:rPr>
            </w:pPr>
            <w:r>
              <w:rPr>
                <w:b/>
                <w:bCs/>
                <w:color w:val="000000"/>
                <w:sz w:val="20"/>
                <w:szCs w:val="20"/>
              </w:rPr>
              <w:t xml:space="preserve">Летальность  от инфаркта миокарда </w:t>
            </w:r>
          </w:p>
        </w:tc>
        <w:tc>
          <w:tcPr>
            <w:tcW w:w="1980" w:type="dxa"/>
            <w:tcBorders>
              <w:top w:val="single" w:sz="4" w:space="0" w:color="00000A"/>
              <w:left w:val="single" w:sz="4" w:space="0" w:color="00000A"/>
              <w:bottom w:val="single" w:sz="4" w:space="0" w:color="00000A"/>
              <w:right w:val="nil"/>
            </w:tcBorders>
            <w:hideMark/>
          </w:tcPr>
          <w:p w:rsidR="00ED7F17" w:rsidRDefault="00ED7F17">
            <w:pPr>
              <w:jc w:val="center"/>
              <w:rPr>
                <w:rFonts w:ascii="Arial" w:eastAsia="Arial" w:hAnsi="Arial" w:cs="Arial"/>
                <w:sz w:val="22"/>
                <w:szCs w:val="22"/>
              </w:rPr>
            </w:pPr>
            <w:r>
              <w:rPr>
                <w:color w:val="000000"/>
                <w:sz w:val="20"/>
                <w:szCs w:val="20"/>
              </w:rPr>
              <w:t xml:space="preserve">не более 15,6 % </w:t>
            </w:r>
          </w:p>
        </w:tc>
        <w:tc>
          <w:tcPr>
            <w:tcW w:w="1583" w:type="dxa"/>
            <w:tcBorders>
              <w:top w:val="single" w:sz="4" w:space="0" w:color="00000A"/>
              <w:left w:val="single" w:sz="4" w:space="0" w:color="00000A"/>
              <w:bottom w:val="single" w:sz="4" w:space="0" w:color="00000A"/>
              <w:right w:val="nil"/>
            </w:tcBorders>
            <w:hideMark/>
          </w:tcPr>
          <w:p w:rsidR="00ED7F17" w:rsidRDefault="00ED7F17">
            <w:pPr>
              <w:jc w:val="center"/>
              <w:rPr>
                <w:rFonts w:ascii="Arial" w:eastAsia="Arial" w:hAnsi="Arial" w:cs="Arial"/>
                <w:sz w:val="22"/>
                <w:szCs w:val="22"/>
              </w:rPr>
            </w:pPr>
            <w:r>
              <w:rPr>
                <w:color w:val="000000"/>
                <w:sz w:val="20"/>
                <w:szCs w:val="20"/>
              </w:rPr>
              <w:t>14,1</w:t>
            </w:r>
          </w:p>
        </w:tc>
        <w:tc>
          <w:tcPr>
            <w:tcW w:w="1375" w:type="dxa"/>
            <w:tcBorders>
              <w:top w:val="single" w:sz="4" w:space="0" w:color="00000A"/>
              <w:left w:val="single" w:sz="4" w:space="0" w:color="00000A"/>
              <w:bottom w:val="single" w:sz="4" w:space="0" w:color="00000A"/>
              <w:right w:val="single" w:sz="4" w:space="0" w:color="00000A"/>
            </w:tcBorders>
            <w:hideMark/>
          </w:tcPr>
          <w:p w:rsidR="00ED7F17" w:rsidRDefault="00ED7F17">
            <w:pPr>
              <w:jc w:val="center"/>
              <w:rPr>
                <w:rFonts w:ascii="Arial" w:eastAsia="Arial" w:hAnsi="Arial" w:cs="Arial"/>
                <w:sz w:val="22"/>
                <w:szCs w:val="22"/>
              </w:rPr>
            </w:pPr>
            <w:r>
              <w:rPr>
                <w:color w:val="000000"/>
                <w:sz w:val="20"/>
                <w:szCs w:val="20"/>
              </w:rPr>
              <w:t>15,4</w:t>
            </w:r>
          </w:p>
        </w:tc>
      </w:tr>
      <w:tr w:rsidR="00ED7F17" w:rsidTr="00ED7F17">
        <w:trPr>
          <w:trHeight w:val="277"/>
        </w:trPr>
        <w:tc>
          <w:tcPr>
            <w:tcW w:w="4674" w:type="dxa"/>
            <w:tcBorders>
              <w:top w:val="single" w:sz="4" w:space="0" w:color="00000A"/>
              <w:left w:val="single" w:sz="4" w:space="0" w:color="00000A"/>
              <w:bottom w:val="single" w:sz="4" w:space="0" w:color="00000A"/>
              <w:right w:val="nil"/>
            </w:tcBorders>
            <w:hideMark/>
          </w:tcPr>
          <w:p w:rsidR="00ED7F17" w:rsidRDefault="00ED7F17">
            <w:pPr>
              <w:rPr>
                <w:rFonts w:ascii="Arial" w:eastAsia="Arial" w:hAnsi="Arial" w:cs="Arial"/>
                <w:sz w:val="22"/>
                <w:szCs w:val="22"/>
              </w:rPr>
            </w:pPr>
            <w:r>
              <w:rPr>
                <w:b/>
                <w:bCs/>
                <w:i/>
                <w:iCs/>
                <w:color w:val="000000"/>
                <w:sz w:val="20"/>
                <w:szCs w:val="20"/>
              </w:rPr>
              <w:t xml:space="preserve">в т.ч. по ПСО </w:t>
            </w:r>
          </w:p>
        </w:tc>
        <w:tc>
          <w:tcPr>
            <w:tcW w:w="1980" w:type="dxa"/>
            <w:tcBorders>
              <w:top w:val="single" w:sz="4" w:space="0" w:color="00000A"/>
              <w:left w:val="single" w:sz="4" w:space="0" w:color="00000A"/>
              <w:bottom w:val="single" w:sz="4" w:space="0" w:color="00000A"/>
              <w:right w:val="nil"/>
            </w:tcBorders>
            <w:hideMark/>
          </w:tcPr>
          <w:p w:rsidR="00ED7F17" w:rsidRDefault="00ED7F17">
            <w:pPr>
              <w:jc w:val="center"/>
              <w:rPr>
                <w:rFonts w:ascii="Arial" w:eastAsia="Arial" w:hAnsi="Arial" w:cs="Arial"/>
                <w:sz w:val="22"/>
                <w:szCs w:val="22"/>
              </w:rPr>
            </w:pPr>
            <w:r>
              <w:rPr>
                <w:i/>
                <w:iCs/>
                <w:color w:val="000000"/>
                <w:sz w:val="20"/>
                <w:szCs w:val="20"/>
              </w:rPr>
              <w:t xml:space="preserve">не более 10 % </w:t>
            </w:r>
          </w:p>
        </w:tc>
        <w:tc>
          <w:tcPr>
            <w:tcW w:w="1583" w:type="dxa"/>
            <w:tcBorders>
              <w:top w:val="single" w:sz="4" w:space="0" w:color="00000A"/>
              <w:left w:val="single" w:sz="4" w:space="0" w:color="00000A"/>
              <w:bottom w:val="single" w:sz="4" w:space="0" w:color="00000A"/>
              <w:right w:val="nil"/>
            </w:tcBorders>
            <w:hideMark/>
          </w:tcPr>
          <w:p w:rsidR="00ED7F17" w:rsidRDefault="00ED7F17">
            <w:pPr>
              <w:jc w:val="center"/>
              <w:rPr>
                <w:rFonts w:ascii="Arial" w:eastAsia="Arial" w:hAnsi="Arial" w:cs="Arial"/>
                <w:sz w:val="22"/>
                <w:szCs w:val="22"/>
              </w:rPr>
            </w:pPr>
            <w:r>
              <w:rPr>
                <w:i/>
                <w:iCs/>
                <w:color w:val="000000"/>
                <w:sz w:val="20"/>
                <w:szCs w:val="20"/>
              </w:rPr>
              <w:t>0</w:t>
            </w:r>
          </w:p>
        </w:tc>
        <w:tc>
          <w:tcPr>
            <w:tcW w:w="1375" w:type="dxa"/>
            <w:tcBorders>
              <w:top w:val="single" w:sz="4" w:space="0" w:color="00000A"/>
              <w:left w:val="single" w:sz="4" w:space="0" w:color="00000A"/>
              <w:bottom w:val="single" w:sz="4" w:space="0" w:color="00000A"/>
              <w:right w:val="single" w:sz="4" w:space="0" w:color="00000A"/>
            </w:tcBorders>
            <w:hideMark/>
          </w:tcPr>
          <w:p w:rsidR="00ED7F17" w:rsidRDefault="00ED7F17">
            <w:pPr>
              <w:jc w:val="center"/>
              <w:rPr>
                <w:rFonts w:ascii="Arial" w:eastAsia="Arial" w:hAnsi="Arial" w:cs="Arial"/>
                <w:sz w:val="22"/>
                <w:szCs w:val="22"/>
              </w:rPr>
            </w:pPr>
            <w:r>
              <w:rPr>
                <w:color w:val="000000"/>
                <w:sz w:val="20"/>
                <w:szCs w:val="20"/>
              </w:rPr>
              <w:t>0,0</w:t>
            </w:r>
          </w:p>
        </w:tc>
      </w:tr>
      <w:tr w:rsidR="00ED7F17" w:rsidTr="00ED7F17">
        <w:trPr>
          <w:trHeight w:val="267"/>
        </w:trPr>
        <w:tc>
          <w:tcPr>
            <w:tcW w:w="4674" w:type="dxa"/>
            <w:tcBorders>
              <w:top w:val="single" w:sz="4" w:space="0" w:color="00000A"/>
              <w:left w:val="single" w:sz="4" w:space="0" w:color="00000A"/>
              <w:bottom w:val="single" w:sz="4" w:space="0" w:color="00000A"/>
              <w:right w:val="nil"/>
            </w:tcBorders>
            <w:hideMark/>
          </w:tcPr>
          <w:p w:rsidR="00ED7F17" w:rsidRDefault="00ED7F17">
            <w:pPr>
              <w:rPr>
                <w:rFonts w:ascii="Arial" w:eastAsia="Arial" w:hAnsi="Arial" w:cs="Arial"/>
                <w:sz w:val="22"/>
                <w:szCs w:val="22"/>
              </w:rPr>
            </w:pPr>
            <w:r>
              <w:rPr>
                <w:b/>
                <w:bCs/>
                <w:i/>
                <w:iCs/>
                <w:color w:val="000000"/>
                <w:sz w:val="20"/>
                <w:szCs w:val="20"/>
              </w:rPr>
              <w:t xml:space="preserve">по РСЦ </w:t>
            </w:r>
          </w:p>
        </w:tc>
        <w:tc>
          <w:tcPr>
            <w:tcW w:w="1980" w:type="dxa"/>
            <w:tcBorders>
              <w:top w:val="single" w:sz="4" w:space="0" w:color="00000A"/>
              <w:left w:val="single" w:sz="4" w:space="0" w:color="00000A"/>
              <w:bottom w:val="single" w:sz="4" w:space="0" w:color="00000A"/>
              <w:right w:val="nil"/>
            </w:tcBorders>
            <w:hideMark/>
          </w:tcPr>
          <w:p w:rsidR="00ED7F17" w:rsidRDefault="00ED7F17">
            <w:pPr>
              <w:jc w:val="center"/>
              <w:rPr>
                <w:rFonts w:ascii="Arial" w:eastAsia="Arial" w:hAnsi="Arial" w:cs="Arial"/>
                <w:sz w:val="22"/>
                <w:szCs w:val="22"/>
              </w:rPr>
            </w:pPr>
            <w:r>
              <w:rPr>
                <w:i/>
                <w:iCs/>
                <w:color w:val="000000"/>
                <w:sz w:val="20"/>
                <w:szCs w:val="20"/>
              </w:rPr>
              <w:t xml:space="preserve">не более  7 % </w:t>
            </w:r>
          </w:p>
        </w:tc>
        <w:tc>
          <w:tcPr>
            <w:tcW w:w="1583" w:type="dxa"/>
            <w:tcBorders>
              <w:top w:val="single" w:sz="4" w:space="0" w:color="00000A"/>
              <w:left w:val="single" w:sz="4" w:space="0" w:color="00000A"/>
              <w:bottom w:val="single" w:sz="4" w:space="0" w:color="00000A"/>
              <w:right w:val="nil"/>
            </w:tcBorders>
            <w:hideMark/>
          </w:tcPr>
          <w:p w:rsidR="00ED7F17" w:rsidRDefault="00ED7F17">
            <w:pPr>
              <w:jc w:val="center"/>
              <w:rPr>
                <w:rFonts w:ascii="Arial" w:eastAsia="Arial" w:hAnsi="Arial" w:cs="Arial"/>
                <w:sz w:val="22"/>
                <w:szCs w:val="22"/>
              </w:rPr>
            </w:pPr>
            <w:r>
              <w:rPr>
                <w:i/>
                <w:iCs/>
                <w:color w:val="000000"/>
                <w:sz w:val="20"/>
                <w:szCs w:val="20"/>
              </w:rPr>
              <w:t>11,0</w:t>
            </w:r>
          </w:p>
        </w:tc>
        <w:tc>
          <w:tcPr>
            <w:tcW w:w="1375" w:type="dxa"/>
            <w:tcBorders>
              <w:top w:val="single" w:sz="4" w:space="0" w:color="00000A"/>
              <w:left w:val="single" w:sz="4" w:space="0" w:color="00000A"/>
              <w:bottom w:val="single" w:sz="4" w:space="0" w:color="00000A"/>
              <w:right w:val="single" w:sz="4" w:space="0" w:color="00000A"/>
            </w:tcBorders>
            <w:hideMark/>
          </w:tcPr>
          <w:p w:rsidR="00ED7F17" w:rsidRDefault="00ED7F17">
            <w:pPr>
              <w:jc w:val="center"/>
              <w:rPr>
                <w:rFonts w:ascii="Arial" w:eastAsia="Arial" w:hAnsi="Arial" w:cs="Arial"/>
                <w:sz w:val="22"/>
                <w:szCs w:val="22"/>
              </w:rPr>
            </w:pPr>
            <w:r>
              <w:rPr>
                <w:color w:val="000000"/>
                <w:sz w:val="20"/>
                <w:szCs w:val="20"/>
              </w:rPr>
              <w:t>12,6</w:t>
            </w:r>
          </w:p>
        </w:tc>
      </w:tr>
      <w:tr w:rsidR="00ED7F17" w:rsidTr="00ED7F17">
        <w:trPr>
          <w:trHeight w:val="284"/>
        </w:trPr>
        <w:tc>
          <w:tcPr>
            <w:tcW w:w="4674" w:type="dxa"/>
            <w:tcBorders>
              <w:top w:val="single" w:sz="4" w:space="0" w:color="00000A"/>
              <w:left w:val="single" w:sz="4" w:space="0" w:color="00000A"/>
              <w:bottom w:val="single" w:sz="4" w:space="0" w:color="00000A"/>
              <w:right w:val="nil"/>
            </w:tcBorders>
            <w:hideMark/>
          </w:tcPr>
          <w:p w:rsidR="00ED7F17" w:rsidRDefault="00ED7F17">
            <w:pPr>
              <w:rPr>
                <w:rFonts w:ascii="Arial" w:eastAsia="Arial" w:hAnsi="Arial" w:cs="Arial"/>
                <w:sz w:val="22"/>
                <w:szCs w:val="22"/>
              </w:rPr>
            </w:pPr>
            <w:r>
              <w:rPr>
                <w:b/>
                <w:bCs/>
                <w:color w:val="000000"/>
                <w:sz w:val="20"/>
                <w:szCs w:val="20"/>
              </w:rPr>
              <w:t xml:space="preserve">Летальность от ОКС </w:t>
            </w:r>
          </w:p>
        </w:tc>
        <w:tc>
          <w:tcPr>
            <w:tcW w:w="1980" w:type="dxa"/>
            <w:tcBorders>
              <w:top w:val="single" w:sz="4" w:space="0" w:color="00000A"/>
              <w:left w:val="single" w:sz="4" w:space="0" w:color="00000A"/>
              <w:bottom w:val="single" w:sz="4" w:space="0" w:color="00000A"/>
              <w:right w:val="nil"/>
            </w:tcBorders>
            <w:hideMark/>
          </w:tcPr>
          <w:p w:rsidR="00ED7F17" w:rsidRDefault="00ED7F17">
            <w:pPr>
              <w:jc w:val="center"/>
              <w:rPr>
                <w:rFonts w:ascii="Arial" w:eastAsia="Arial" w:hAnsi="Arial" w:cs="Arial"/>
                <w:sz w:val="22"/>
                <w:szCs w:val="22"/>
              </w:rPr>
            </w:pPr>
            <w:r>
              <w:rPr>
                <w:color w:val="000000"/>
                <w:sz w:val="20"/>
                <w:szCs w:val="20"/>
              </w:rPr>
              <w:t xml:space="preserve">не более  5% </w:t>
            </w:r>
          </w:p>
        </w:tc>
        <w:tc>
          <w:tcPr>
            <w:tcW w:w="1583" w:type="dxa"/>
            <w:tcBorders>
              <w:top w:val="single" w:sz="4" w:space="0" w:color="00000A"/>
              <w:left w:val="single" w:sz="4" w:space="0" w:color="00000A"/>
              <w:bottom w:val="single" w:sz="4" w:space="0" w:color="00000A"/>
              <w:right w:val="nil"/>
            </w:tcBorders>
            <w:hideMark/>
          </w:tcPr>
          <w:p w:rsidR="00ED7F17" w:rsidRDefault="00ED7F17">
            <w:pPr>
              <w:jc w:val="center"/>
              <w:rPr>
                <w:rFonts w:ascii="Arial" w:eastAsia="Arial" w:hAnsi="Arial" w:cs="Arial"/>
                <w:sz w:val="22"/>
                <w:szCs w:val="22"/>
              </w:rPr>
            </w:pPr>
            <w:r>
              <w:rPr>
                <w:sz w:val="20"/>
                <w:szCs w:val="20"/>
              </w:rPr>
              <w:t>9,4</w:t>
            </w:r>
          </w:p>
        </w:tc>
        <w:tc>
          <w:tcPr>
            <w:tcW w:w="1375" w:type="dxa"/>
            <w:tcBorders>
              <w:top w:val="single" w:sz="4" w:space="0" w:color="00000A"/>
              <w:left w:val="single" w:sz="4" w:space="0" w:color="00000A"/>
              <w:bottom w:val="single" w:sz="4" w:space="0" w:color="00000A"/>
              <w:right w:val="single" w:sz="4" w:space="0" w:color="00000A"/>
            </w:tcBorders>
            <w:hideMark/>
          </w:tcPr>
          <w:p w:rsidR="00ED7F17" w:rsidRDefault="00ED7F17">
            <w:pPr>
              <w:jc w:val="center"/>
              <w:rPr>
                <w:rFonts w:ascii="Arial" w:eastAsia="Arial" w:hAnsi="Arial" w:cs="Arial"/>
                <w:sz w:val="22"/>
                <w:szCs w:val="22"/>
              </w:rPr>
            </w:pPr>
            <w:r>
              <w:rPr>
                <w:color w:val="000000"/>
                <w:sz w:val="20"/>
                <w:szCs w:val="20"/>
              </w:rPr>
              <w:t>9,7</w:t>
            </w:r>
          </w:p>
        </w:tc>
      </w:tr>
      <w:tr w:rsidR="00ED7F17" w:rsidTr="00ED7F17">
        <w:trPr>
          <w:trHeight w:val="260"/>
        </w:trPr>
        <w:tc>
          <w:tcPr>
            <w:tcW w:w="4674" w:type="dxa"/>
            <w:tcBorders>
              <w:top w:val="single" w:sz="4" w:space="0" w:color="00000A"/>
              <w:left w:val="single" w:sz="4" w:space="0" w:color="00000A"/>
              <w:bottom w:val="single" w:sz="4" w:space="0" w:color="00000A"/>
              <w:right w:val="nil"/>
            </w:tcBorders>
            <w:hideMark/>
          </w:tcPr>
          <w:p w:rsidR="00ED7F17" w:rsidRDefault="00ED7F17">
            <w:pPr>
              <w:rPr>
                <w:rFonts w:ascii="Arial" w:eastAsia="Arial" w:hAnsi="Arial" w:cs="Arial"/>
                <w:sz w:val="22"/>
                <w:szCs w:val="22"/>
              </w:rPr>
            </w:pPr>
            <w:r>
              <w:rPr>
                <w:b/>
                <w:bCs/>
                <w:i/>
                <w:iCs/>
                <w:color w:val="000000"/>
                <w:sz w:val="20"/>
                <w:szCs w:val="20"/>
              </w:rPr>
              <w:t xml:space="preserve">в т.ч. досуточная летальность </w:t>
            </w:r>
          </w:p>
        </w:tc>
        <w:tc>
          <w:tcPr>
            <w:tcW w:w="1980" w:type="dxa"/>
            <w:tcBorders>
              <w:top w:val="single" w:sz="4" w:space="0" w:color="00000A"/>
              <w:left w:val="single" w:sz="4" w:space="0" w:color="00000A"/>
              <w:bottom w:val="single" w:sz="4" w:space="0" w:color="00000A"/>
              <w:right w:val="nil"/>
            </w:tcBorders>
            <w:hideMark/>
          </w:tcPr>
          <w:p w:rsidR="00ED7F17" w:rsidRDefault="00ED7F17">
            <w:pPr>
              <w:jc w:val="center"/>
              <w:rPr>
                <w:rFonts w:ascii="Arial" w:eastAsia="Arial" w:hAnsi="Arial" w:cs="Arial"/>
                <w:sz w:val="22"/>
                <w:szCs w:val="22"/>
              </w:rPr>
            </w:pPr>
            <w:r>
              <w:rPr>
                <w:i/>
                <w:iCs/>
                <w:color w:val="000000"/>
                <w:sz w:val="20"/>
                <w:szCs w:val="20"/>
              </w:rPr>
              <w:t xml:space="preserve">не более  25% </w:t>
            </w:r>
          </w:p>
        </w:tc>
        <w:tc>
          <w:tcPr>
            <w:tcW w:w="1583" w:type="dxa"/>
            <w:tcBorders>
              <w:top w:val="single" w:sz="4" w:space="0" w:color="00000A"/>
              <w:left w:val="single" w:sz="4" w:space="0" w:color="00000A"/>
              <w:bottom w:val="single" w:sz="4" w:space="0" w:color="00000A"/>
              <w:right w:val="nil"/>
            </w:tcBorders>
            <w:hideMark/>
          </w:tcPr>
          <w:p w:rsidR="00ED7F17" w:rsidRDefault="00ED7F17">
            <w:pPr>
              <w:jc w:val="center"/>
              <w:rPr>
                <w:rFonts w:ascii="Arial" w:eastAsia="Arial" w:hAnsi="Arial" w:cs="Arial"/>
                <w:sz w:val="22"/>
                <w:szCs w:val="22"/>
              </w:rPr>
            </w:pPr>
            <w:r>
              <w:rPr>
                <w:i/>
                <w:iCs/>
                <w:sz w:val="20"/>
                <w:szCs w:val="20"/>
              </w:rPr>
              <w:t>28,0</w:t>
            </w:r>
          </w:p>
        </w:tc>
        <w:tc>
          <w:tcPr>
            <w:tcW w:w="1375" w:type="dxa"/>
            <w:tcBorders>
              <w:top w:val="single" w:sz="4" w:space="0" w:color="00000A"/>
              <w:left w:val="single" w:sz="4" w:space="0" w:color="00000A"/>
              <w:bottom w:val="single" w:sz="4" w:space="0" w:color="00000A"/>
              <w:right w:val="single" w:sz="4" w:space="0" w:color="00000A"/>
            </w:tcBorders>
            <w:hideMark/>
          </w:tcPr>
          <w:p w:rsidR="00ED7F17" w:rsidRDefault="00ED7F17">
            <w:pPr>
              <w:jc w:val="center"/>
              <w:rPr>
                <w:rFonts w:ascii="Arial" w:eastAsia="Arial" w:hAnsi="Arial" w:cs="Arial"/>
                <w:sz w:val="22"/>
                <w:szCs w:val="22"/>
              </w:rPr>
            </w:pPr>
            <w:r>
              <w:rPr>
                <w:color w:val="000000"/>
                <w:sz w:val="20"/>
                <w:szCs w:val="20"/>
              </w:rPr>
              <w:t>27,9</w:t>
            </w:r>
          </w:p>
        </w:tc>
      </w:tr>
      <w:tr w:rsidR="00ED7F17" w:rsidTr="00ED7F17">
        <w:trPr>
          <w:trHeight w:val="702"/>
        </w:trPr>
        <w:tc>
          <w:tcPr>
            <w:tcW w:w="4674" w:type="dxa"/>
            <w:tcBorders>
              <w:top w:val="single" w:sz="4" w:space="0" w:color="00000A"/>
              <w:left w:val="single" w:sz="4" w:space="0" w:color="00000A"/>
              <w:bottom w:val="single" w:sz="4" w:space="0" w:color="00000A"/>
              <w:right w:val="nil"/>
            </w:tcBorders>
            <w:hideMark/>
          </w:tcPr>
          <w:p w:rsidR="00ED7F17" w:rsidRDefault="00ED7F17">
            <w:pPr>
              <w:rPr>
                <w:rFonts w:ascii="Arial" w:eastAsia="Arial" w:hAnsi="Arial" w:cs="Arial"/>
                <w:sz w:val="22"/>
                <w:szCs w:val="22"/>
              </w:rPr>
            </w:pPr>
            <w:r>
              <w:rPr>
                <w:b/>
                <w:bCs/>
                <w:color w:val="000000"/>
                <w:sz w:val="20"/>
                <w:szCs w:val="20"/>
              </w:rPr>
              <w:t>Доля пациентов, умерших от ИБС в трудоспособном возрасте, от общего количества умерших от ИБС</w:t>
            </w:r>
          </w:p>
        </w:tc>
        <w:tc>
          <w:tcPr>
            <w:tcW w:w="1980" w:type="dxa"/>
            <w:tcBorders>
              <w:top w:val="single" w:sz="4" w:space="0" w:color="00000A"/>
              <w:left w:val="single" w:sz="4" w:space="0" w:color="00000A"/>
              <w:bottom w:val="single" w:sz="4" w:space="0" w:color="00000A"/>
              <w:right w:val="nil"/>
            </w:tcBorders>
            <w:hideMark/>
          </w:tcPr>
          <w:p w:rsidR="00ED7F17" w:rsidRDefault="00ED7F17">
            <w:pPr>
              <w:jc w:val="center"/>
              <w:rPr>
                <w:rFonts w:ascii="Arial" w:eastAsia="Arial" w:hAnsi="Arial" w:cs="Arial"/>
                <w:sz w:val="22"/>
                <w:szCs w:val="22"/>
              </w:rPr>
            </w:pPr>
            <w:r>
              <w:rPr>
                <w:color w:val="000000"/>
                <w:sz w:val="20"/>
                <w:szCs w:val="20"/>
              </w:rPr>
              <w:t>не более 11,8 %</w:t>
            </w:r>
          </w:p>
        </w:tc>
        <w:tc>
          <w:tcPr>
            <w:tcW w:w="1583" w:type="dxa"/>
            <w:tcBorders>
              <w:top w:val="single" w:sz="4" w:space="0" w:color="00000A"/>
              <w:left w:val="single" w:sz="4" w:space="0" w:color="00000A"/>
              <w:bottom w:val="single" w:sz="4" w:space="0" w:color="00000A"/>
              <w:right w:val="nil"/>
            </w:tcBorders>
            <w:hideMark/>
          </w:tcPr>
          <w:p w:rsidR="00ED7F17" w:rsidRDefault="00ED7F17">
            <w:pPr>
              <w:jc w:val="center"/>
              <w:rPr>
                <w:rFonts w:ascii="Arial" w:eastAsia="Arial" w:hAnsi="Arial" w:cs="Arial"/>
                <w:sz w:val="22"/>
                <w:szCs w:val="22"/>
              </w:rPr>
            </w:pPr>
            <w:r>
              <w:rPr>
                <w:color w:val="000000"/>
                <w:sz w:val="20"/>
                <w:szCs w:val="20"/>
              </w:rPr>
              <w:t>8,3</w:t>
            </w:r>
          </w:p>
        </w:tc>
        <w:tc>
          <w:tcPr>
            <w:tcW w:w="1375" w:type="dxa"/>
            <w:tcBorders>
              <w:top w:val="single" w:sz="4" w:space="0" w:color="00000A"/>
              <w:left w:val="single" w:sz="4" w:space="0" w:color="00000A"/>
              <w:bottom w:val="single" w:sz="4" w:space="0" w:color="00000A"/>
              <w:right w:val="single" w:sz="4" w:space="0" w:color="00000A"/>
            </w:tcBorders>
            <w:hideMark/>
          </w:tcPr>
          <w:p w:rsidR="00ED7F17" w:rsidRDefault="00ED7F17">
            <w:pPr>
              <w:jc w:val="center"/>
              <w:rPr>
                <w:rFonts w:ascii="Arial" w:eastAsia="Arial" w:hAnsi="Arial" w:cs="Arial"/>
                <w:sz w:val="22"/>
                <w:szCs w:val="22"/>
              </w:rPr>
            </w:pPr>
            <w:r>
              <w:rPr>
                <w:color w:val="000000"/>
                <w:sz w:val="20"/>
                <w:szCs w:val="20"/>
              </w:rPr>
              <w:t>8,9</w:t>
            </w:r>
          </w:p>
        </w:tc>
      </w:tr>
      <w:tr w:rsidR="00ED7F17" w:rsidTr="00ED7F17">
        <w:trPr>
          <w:trHeight w:val="557"/>
        </w:trPr>
        <w:tc>
          <w:tcPr>
            <w:tcW w:w="4674" w:type="dxa"/>
            <w:tcBorders>
              <w:top w:val="single" w:sz="4" w:space="0" w:color="00000A"/>
              <w:left w:val="single" w:sz="4" w:space="0" w:color="00000A"/>
              <w:bottom w:val="single" w:sz="4" w:space="0" w:color="00000A"/>
              <w:right w:val="nil"/>
            </w:tcBorders>
            <w:hideMark/>
          </w:tcPr>
          <w:p w:rsidR="00ED7F17" w:rsidRDefault="00ED7F17">
            <w:pPr>
              <w:rPr>
                <w:rFonts w:ascii="Arial" w:eastAsia="Arial" w:hAnsi="Arial" w:cs="Arial"/>
                <w:sz w:val="22"/>
                <w:szCs w:val="22"/>
              </w:rPr>
            </w:pPr>
            <w:r>
              <w:rPr>
                <w:b/>
                <w:bCs/>
                <w:color w:val="000000"/>
                <w:sz w:val="20"/>
                <w:szCs w:val="20"/>
              </w:rPr>
              <w:t>Смертность от острого и повторного инфаркта миокарда (на 100 000 населения)</w:t>
            </w:r>
          </w:p>
        </w:tc>
        <w:tc>
          <w:tcPr>
            <w:tcW w:w="1980" w:type="dxa"/>
            <w:tcBorders>
              <w:top w:val="single" w:sz="4" w:space="0" w:color="00000A"/>
              <w:left w:val="single" w:sz="4" w:space="0" w:color="00000A"/>
              <w:bottom w:val="single" w:sz="4" w:space="0" w:color="00000A"/>
              <w:right w:val="nil"/>
            </w:tcBorders>
            <w:hideMark/>
          </w:tcPr>
          <w:p w:rsidR="00ED7F17" w:rsidRDefault="00ED7F17">
            <w:pPr>
              <w:jc w:val="center"/>
              <w:rPr>
                <w:rFonts w:ascii="Arial" w:eastAsia="Arial" w:hAnsi="Arial" w:cs="Arial"/>
                <w:sz w:val="22"/>
                <w:szCs w:val="22"/>
              </w:rPr>
            </w:pPr>
            <w:r>
              <w:rPr>
                <w:color w:val="000000"/>
                <w:sz w:val="20"/>
                <w:szCs w:val="20"/>
              </w:rPr>
              <w:t xml:space="preserve">не более 50,0 </w:t>
            </w:r>
          </w:p>
        </w:tc>
        <w:tc>
          <w:tcPr>
            <w:tcW w:w="1583" w:type="dxa"/>
            <w:tcBorders>
              <w:top w:val="single" w:sz="4" w:space="0" w:color="00000A"/>
              <w:left w:val="single" w:sz="4" w:space="0" w:color="00000A"/>
              <w:bottom w:val="single" w:sz="4" w:space="0" w:color="00000A"/>
              <w:right w:val="nil"/>
            </w:tcBorders>
            <w:hideMark/>
          </w:tcPr>
          <w:p w:rsidR="00ED7F17" w:rsidRDefault="00ED7F17">
            <w:pPr>
              <w:jc w:val="center"/>
              <w:rPr>
                <w:rFonts w:ascii="Arial" w:eastAsia="Arial" w:hAnsi="Arial" w:cs="Arial"/>
                <w:sz w:val="22"/>
                <w:szCs w:val="22"/>
              </w:rPr>
            </w:pPr>
            <w:r>
              <w:rPr>
                <w:color w:val="000000"/>
                <w:sz w:val="20"/>
                <w:szCs w:val="20"/>
              </w:rPr>
              <w:t>0</w:t>
            </w:r>
          </w:p>
        </w:tc>
        <w:tc>
          <w:tcPr>
            <w:tcW w:w="1375" w:type="dxa"/>
            <w:tcBorders>
              <w:top w:val="single" w:sz="4" w:space="0" w:color="00000A"/>
              <w:left w:val="single" w:sz="4" w:space="0" w:color="00000A"/>
              <w:bottom w:val="single" w:sz="4" w:space="0" w:color="00000A"/>
              <w:right w:val="single" w:sz="4" w:space="0" w:color="00000A"/>
            </w:tcBorders>
            <w:hideMark/>
          </w:tcPr>
          <w:p w:rsidR="00ED7F17" w:rsidRDefault="00ED7F17">
            <w:pPr>
              <w:jc w:val="center"/>
              <w:rPr>
                <w:rFonts w:ascii="Arial" w:eastAsia="Arial" w:hAnsi="Arial" w:cs="Arial"/>
                <w:sz w:val="22"/>
                <w:szCs w:val="22"/>
              </w:rPr>
            </w:pPr>
            <w:r>
              <w:rPr>
                <w:color w:val="000000"/>
                <w:sz w:val="20"/>
                <w:szCs w:val="20"/>
              </w:rPr>
              <w:t>0,0</w:t>
            </w:r>
          </w:p>
        </w:tc>
      </w:tr>
      <w:tr w:rsidR="00ED7F17" w:rsidTr="00ED7F17">
        <w:trPr>
          <w:trHeight w:val="1132"/>
        </w:trPr>
        <w:tc>
          <w:tcPr>
            <w:tcW w:w="4674" w:type="dxa"/>
            <w:tcBorders>
              <w:top w:val="single" w:sz="4" w:space="0" w:color="00000A"/>
              <w:left w:val="single" w:sz="4" w:space="0" w:color="00000A"/>
              <w:bottom w:val="single" w:sz="4" w:space="0" w:color="00000A"/>
              <w:right w:val="nil"/>
            </w:tcBorders>
            <w:hideMark/>
          </w:tcPr>
          <w:p w:rsidR="00ED7F17" w:rsidRDefault="00ED7F17">
            <w:pPr>
              <w:rPr>
                <w:rFonts w:ascii="Arial" w:eastAsia="Arial" w:hAnsi="Arial" w:cs="Arial"/>
                <w:sz w:val="22"/>
                <w:szCs w:val="22"/>
              </w:rPr>
            </w:pPr>
            <w:r>
              <w:rPr>
                <w:b/>
                <w:bCs/>
                <w:color w:val="000000"/>
                <w:sz w:val="20"/>
                <w:szCs w:val="20"/>
              </w:rPr>
              <w:t>Доля пациентов, умерших от острого и повторного инфаркта миокарда  в трудоспособном возрасте, от общего количества умерших от  острого и повторного инфаркта миокарда</w:t>
            </w:r>
          </w:p>
        </w:tc>
        <w:tc>
          <w:tcPr>
            <w:tcW w:w="1980" w:type="dxa"/>
            <w:tcBorders>
              <w:top w:val="single" w:sz="4" w:space="0" w:color="00000A"/>
              <w:left w:val="single" w:sz="4" w:space="0" w:color="00000A"/>
              <w:bottom w:val="single" w:sz="4" w:space="0" w:color="00000A"/>
              <w:right w:val="nil"/>
            </w:tcBorders>
            <w:hideMark/>
          </w:tcPr>
          <w:p w:rsidR="00ED7F17" w:rsidRDefault="00ED7F17">
            <w:pPr>
              <w:jc w:val="center"/>
              <w:rPr>
                <w:rFonts w:ascii="Arial" w:eastAsia="Arial" w:hAnsi="Arial" w:cs="Arial"/>
                <w:sz w:val="22"/>
                <w:szCs w:val="22"/>
              </w:rPr>
            </w:pPr>
            <w:r>
              <w:rPr>
                <w:color w:val="000000"/>
                <w:sz w:val="20"/>
                <w:szCs w:val="20"/>
              </w:rPr>
              <w:t>не более 17,1 %</w:t>
            </w:r>
          </w:p>
        </w:tc>
        <w:tc>
          <w:tcPr>
            <w:tcW w:w="1583" w:type="dxa"/>
            <w:tcBorders>
              <w:top w:val="single" w:sz="4" w:space="0" w:color="00000A"/>
              <w:left w:val="single" w:sz="4" w:space="0" w:color="00000A"/>
              <w:bottom w:val="single" w:sz="4" w:space="0" w:color="00000A"/>
              <w:right w:val="nil"/>
            </w:tcBorders>
            <w:hideMark/>
          </w:tcPr>
          <w:p w:rsidR="00ED7F17" w:rsidRDefault="00ED7F17">
            <w:pPr>
              <w:jc w:val="center"/>
              <w:rPr>
                <w:rFonts w:ascii="Arial" w:eastAsia="Arial" w:hAnsi="Arial" w:cs="Arial"/>
                <w:sz w:val="22"/>
                <w:szCs w:val="22"/>
              </w:rPr>
            </w:pPr>
            <w:r>
              <w:rPr>
                <w:color w:val="000000"/>
                <w:sz w:val="20"/>
                <w:szCs w:val="20"/>
              </w:rPr>
              <w:t>8,5</w:t>
            </w:r>
          </w:p>
        </w:tc>
        <w:tc>
          <w:tcPr>
            <w:tcW w:w="1375" w:type="dxa"/>
            <w:tcBorders>
              <w:top w:val="single" w:sz="4" w:space="0" w:color="00000A"/>
              <w:left w:val="single" w:sz="4" w:space="0" w:color="00000A"/>
              <w:bottom w:val="single" w:sz="4" w:space="0" w:color="00000A"/>
              <w:right w:val="single" w:sz="4" w:space="0" w:color="00000A"/>
            </w:tcBorders>
            <w:hideMark/>
          </w:tcPr>
          <w:p w:rsidR="00ED7F17" w:rsidRDefault="00ED7F17">
            <w:pPr>
              <w:jc w:val="center"/>
              <w:rPr>
                <w:rFonts w:ascii="Arial" w:eastAsia="Arial" w:hAnsi="Arial" w:cs="Arial"/>
                <w:sz w:val="22"/>
                <w:szCs w:val="22"/>
              </w:rPr>
            </w:pPr>
            <w:r>
              <w:rPr>
                <w:color w:val="000000"/>
                <w:sz w:val="20"/>
                <w:szCs w:val="20"/>
              </w:rPr>
              <w:t>11,5</w:t>
            </w:r>
          </w:p>
        </w:tc>
      </w:tr>
    </w:tbl>
    <w:p w:rsidR="00ED7F17" w:rsidRDefault="00ED7F17" w:rsidP="00ED7F17">
      <w:pPr>
        <w:pStyle w:val="17"/>
        <w:spacing w:after="0" w:line="240" w:lineRule="auto"/>
        <w:jc w:val="both"/>
      </w:pPr>
    </w:p>
    <w:p w:rsidR="00ED7F17" w:rsidRDefault="00ED7F17" w:rsidP="00ED7F17">
      <w:pPr>
        <w:ind w:firstLine="708"/>
        <w:jc w:val="both"/>
      </w:pPr>
    </w:p>
    <w:p w:rsidR="00ED7F17" w:rsidRDefault="00ED7F17" w:rsidP="00ED7F17">
      <w:pPr>
        <w:ind w:firstLine="708"/>
        <w:jc w:val="both"/>
      </w:pPr>
    </w:p>
    <w:p w:rsidR="00ED7F17" w:rsidRDefault="00ED7F17" w:rsidP="00ED7F17">
      <w:pPr>
        <w:widowControl w:val="0"/>
        <w:jc w:val="center"/>
        <w:rPr>
          <w:rFonts w:ascii="Arial" w:eastAsia="Arial" w:hAnsi="Arial" w:cs="Arial"/>
          <w:sz w:val="22"/>
          <w:szCs w:val="22"/>
        </w:rPr>
      </w:pPr>
      <w:r>
        <w:rPr>
          <w:rFonts w:eastAsia="Cambria"/>
          <w:b/>
          <w:lang w:bidi="hi-IN"/>
        </w:rPr>
        <w:t>Оказание медицинской помощи населению Астраханской области</w:t>
      </w:r>
    </w:p>
    <w:p w:rsidR="00ED7F17" w:rsidRDefault="00ED7F17" w:rsidP="00ED7F17">
      <w:pPr>
        <w:widowControl w:val="0"/>
        <w:jc w:val="center"/>
      </w:pPr>
      <w:r>
        <w:rPr>
          <w:rFonts w:eastAsia="Cambria"/>
          <w:b/>
          <w:lang w:bidi="hi-IN"/>
        </w:rPr>
        <w:t>по профилю «неврология»</w:t>
      </w:r>
    </w:p>
    <w:p w:rsidR="00ED7F17" w:rsidRDefault="00ED7F17" w:rsidP="00ED7F17">
      <w:pPr>
        <w:widowControl w:val="0"/>
        <w:ind w:firstLine="709"/>
        <w:jc w:val="both"/>
        <w:rPr>
          <w:rFonts w:eastAsia="Calibri"/>
          <w:b/>
          <w:iCs/>
          <w:lang w:bidi="hi-IN"/>
        </w:rPr>
      </w:pPr>
    </w:p>
    <w:p w:rsidR="00ED7F17" w:rsidRDefault="00ED7F17" w:rsidP="00ED7F17">
      <w:pPr>
        <w:widowControl w:val="0"/>
        <w:ind w:firstLine="709"/>
        <w:jc w:val="both"/>
        <w:rPr>
          <w:rFonts w:ascii="Arial" w:eastAsia="Arial" w:hAnsi="Arial" w:cs="Arial"/>
          <w:sz w:val="22"/>
          <w:szCs w:val="22"/>
        </w:rPr>
      </w:pPr>
      <w:r>
        <w:rPr>
          <w:rFonts w:eastAsia="Calibri"/>
          <w:iCs/>
        </w:rPr>
        <w:t>Оказание гражданам медицинской помощи по профилю «неврология» осуществляется в следующих медицинских организациях:</w:t>
      </w:r>
    </w:p>
    <w:p w:rsidR="00ED7F17" w:rsidRDefault="00ED7F17" w:rsidP="00ED7F17">
      <w:pPr>
        <w:widowControl w:val="0"/>
        <w:ind w:firstLine="709"/>
        <w:jc w:val="both"/>
      </w:pPr>
      <w:r>
        <w:rPr>
          <w:rFonts w:eastAsia="Calibri"/>
          <w:iCs/>
        </w:rPr>
        <w:t>1. В стационарных условиях: ГБУЗ АО АМОКБ, ГБУЗ АО «КБ № 3 им. С.М. Кирова»,  НУЗ «Отделенческая больница на станции Астрахань-1 ОАО «РЖД», АКБ ФГБУЗ ЮОЦ ФМБА России, ГБУЗ АО «ГКБ № 2 им. братьев Губиных», ГБУЗ АО «Ахтубинская РБ», ГБУЗ АО «Володарская РБ», ГБУЗ АО «Икрянинская РБ», ГБУЗ АО «Камызякская РБ», ГБУЗ АО «Красноярская РБ», ГБУЗ АО «Лиманская РБ», ГБУЗ АО «Наримановская РБ», ГБУЗ АО «Харабалинская РБ», ГБУЗ АО «Черноярская РБ», ГБУЗ АО «ГБ ЗАТО Знаменск», фила №4 ФГКУ «413 ВГ» Минобороны России.</w:t>
      </w:r>
    </w:p>
    <w:p w:rsidR="00ED7F17" w:rsidRDefault="00ED7F17" w:rsidP="00ED7F17">
      <w:pPr>
        <w:widowControl w:val="0"/>
        <w:ind w:firstLine="709"/>
        <w:jc w:val="both"/>
      </w:pPr>
      <w:r>
        <w:rPr>
          <w:rFonts w:eastAsia="Calibri"/>
          <w:iCs/>
        </w:rPr>
        <w:t>2. В условиях дневного стационара: ГБУЗ АО АМОКБ, ГБУЗ АО «КБ № 3 им. С.М. Кирова», НУЗ «Отделенческая больница на станции Астрахань-1 ОАО «РЖД», АКБ ФГБУЗ ЮОЦ ФМБА России, ГБУЗ АО «ГКБ № 2 им. братьев Губиных», ГБУЗ АО «Ахтубинская РБ», ГБУЗ АО «Володарская РБ», ГБУЗ АО «Икрянинская РБ», ГБУЗ АО «Камызякская РБ», ГБУЗ АО «Лиманская РБ», ГБУЗ АО «Наримановская РБ», ГБУЗ АО «Харабалинская РБ», ГБУЗ АО «Черноярская РБ», ГБУЗ АО «Приволжская РБ», ГБУЗ АО «ГП № 3», ГБУЗ АО «ГП № 5», ГБУЗ АО «Областной врачебно-физкультурный диспансер», ООО «Медиал», ООО «новая поликлиника – Астрахань», ООО «медицниский центр Альтернатива», ООО «Ориго».</w:t>
      </w:r>
    </w:p>
    <w:p w:rsidR="00ED7F17" w:rsidRDefault="00ED7F17" w:rsidP="00ED7F17">
      <w:pPr>
        <w:widowControl w:val="0"/>
        <w:ind w:firstLine="709"/>
        <w:jc w:val="both"/>
      </w:pPr>
      <w:r>
        <w:rPr>
          <w:rFonts w:eastAsia="Calibri"/>
          <w:iCs/>
        </w:rPr>
        <w:t>3. В амбулаторных условиях: ГБУЗ АО «ГП № 1», ГБУЗ АО «ГП № 2», ГБУЗ АО «ГП № 3», ГБУЗ АО «ГП № 5», ГБУЗ АО «ГП № 8», ГБУЗ АО «ГП № 10», ГБУЗ АО «Ахтубинская РБ», ГБУЗ АО «Володарская РБ», ГБУЗ АО «Икрянинская РБ», ГБУЗ АО «Камызякская РБ», ГБУЗ АО «Красноярская РБ», ГБУЗ АО «Лиманская РБ», ГБУЗ АО «Наримановская РБ», ГБУЗ АО «Харабалинская РБ», ГБУЗ АО «Черноярская РБ», ГБУЗ АО «ГБ ЗАТО Знаменск», НУЗ «Отделенческая больница на станции Астрахань-1 ОАО «РЖД», АКБ ФГБУЗ ЮОЦ ФМБА России, ГБУЗ АО «Областной врачебно-физкультурный диспансер», ГБУЗ АО «Центр медицинской профилактики».</w:t>
      </w:r>
    </w:p>
    <w:p w:rsidR="00ED7F17" w:rsidRDefault="00ED7F17" w:rsidP="00ED7F17">
      <w:pPr>
        <w:widowControl w:val="0"/>
        <w:ind w:firstLine="709"/>
        <w:jc w:val="both"/>
        <w:rPr>
          <w:rFonts w:eastAsia="Calibri"/>
          <w:iCs/>
        </w:rPr>
      </w:pPr>
    </w:p>
    <w:p w:rsidR="00ED7F17" w:rsidRDefault="00ED7F17" w:rsidP="00ED7F17">
      <w:pPr>
        <w:widowControl w:val="0"/>
        <w:ind w:firstLine="709"/>
        <w:jc w:val="both"/>
        <w:rPr>
          <w:rFonts w:eastAsia="Calibri"/>
          <w:iCs/>
        </w:rPr>
      </w:pPr>
    </w:p>
    <w:p w:rsidR="00ED7F17" w:rsidRDefault="00ED7F17" w:rsidP="00ED7F17">
      <w:pPr>
        <w:widowControl w:val="0"/>
        <w:ind w:firstLine="709"/>
        <w:jc w:val="both"/>
        <w:rPr>
          <w:rFonts w:eastAsia="Calibri"/>
          <w:iCs/>
        </w:rPr>
      </w:pPr>
    </w:p>
    <w:p w:rsidR="00ED7F17" w:rsidRDefault="00ED7F17" w:rsidP="00ED7F17">
      <w:pPr>
        <w:widowControl w:val="0"/>
        <w:ind w:firstLine="709"/>
        <w:jc w:val="both"/>
        <w:rPr>
          <w:rFonts w:eastAsia="Calibri"/>
          <w:iCs/>
        </w:rPr>
      </w:pPr>
    </w:p>
    <w:p w:rsidR="00ED7F17" w:rsidRDefault="00ED7F17" w:rsidP="00ED7F17">
      <w:pPr>
        <w:widowControl w:val="0"/>
        <w:ind w:firstLine="709"/>
        <w:jc w:val="both"/>
        <w:rPr>
          <w:rFonts w:eastAsia="Calibri"/>
          <w:iCs/>
        </w:rPr>
      </w:pPr>
    </w:p>
    <w:p w:rsidR="00ED7F17" w:rsidRDefault="00ED7F17" w:rsidP="00ED7F17">
      <w:pPr>
        <w:widowControl w:val="0"/>
        <w:ind w:firstLine="709"/>
        <w:jc w:val="both"/>
        <w:rPr>
          <w:rFonts w:eastAsia="Calibri"/>
          <w:iCs/>
        </w:rPr>
      </w:pPr>
    </w:p>
    <w:tbl>
      <w:tblPr>
        <w:tblW w:w="0" w:type="auto"/>
        <w:tblInd w:w="-138" w:type="dxa"/>
        <w:tblLayout w:type="fixed"/>
        <w:tblCellMar>
          <w:left w:w="0" w:type="dxa"/>
          <w:right w:w="0" w:type="dxa"/>
        </w:tblCellMar>
        <w:tblLook w:val="04A0" w:firstRow="1" w:lastRow="0" w:firstColumn="1" w:lastColumn="0" w:noHBand="0" w:noVBand="1"/>
      </w:tblPr>
      <w:tblGrid>
        <w:gridCol w:w="1810"/>
        <w:gridCol w:w="2536"/>
        <w:gridCol w:w="2708"/>
        <w:gridCol w:w="576"/>
        <w:gridCol w:w="804"/>
        <w:gridCol w:w="728"/>
        <w:gridCol w:w="869"/>
        <w:gridCol w:w="60"/>
      </w:tblGrid>
      <w:tr w:rsidR="00ED7F17" w:rsidTr="00ED7F17">
        <w:trPr>
          <w:trHeight w:val="810"/>
        </w:trPr>
        <w:tc>
          <w:tcPr>
            <w:tcW w:w="10031" w:type="dxa"/>
            <w:gridSpan w:val="7"/>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 xml:space="preserve">Информация о количестве и деятельности коек неврологического профиля в медицинских организациях Астраханской области </w:t>
            </w:r>
          </w:p>
        </w:tc>
        <w:tc>
          <w:tcPr>
            <w:tcW w:w="60" w:type="dxa"/>
          </w:tcPr>
          <w:p w:rsidR="00ED7F17" w:rsidRDefault="00ED7F17">
            <w:pPr>
              <w:snapToGrid w:val="0"/>
              <w:spacing w:line="276" w:lineRule="auto"/>
              <w:rPr>
                <w:color w:val="000000"/>
                <w:sz w:val="20"/>
                <w:szCs w:val="20"/>
                <w:lang w:eastAsia="ru-RU"/>
              </w:rPr>
            </w:pPr>
          </w:p>
        </w:tc>
      </w:tr>
      <w:tr w:rsidR="00ED7F17" w:rsidTr="00ED7F17">
        <w:trPr>
          <w:trHeight w:val="830"/>
        </w:trPr>
        <w:tc>
          <w:tcPr>
            <w:tcW w:w="1810" w:type="dxa"/>
            <w:vMerge w:val="restart"/>
            <w:tcBorders>
              <w:top w:val="single" w:sz="8" w:space="0" w:color="000000"/>
              <w:left w:val="single" w:sz="8"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Наименование медицинской организации</w:t>
            </w:r>
          </w:p>
        </w:tc>
        <w:tc>
          <w:tcPr>
            <w:tcW w:w="5244" w:type="dxa"/>
            <w:gridSpan w:val="2"/>
            <w:tcBorders>
              <w:top w:val="single" w:sz="8" w:space="0" w:color="000000"/>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Количество коек</w:t>
            </w:r>
          </w:p>
        </w:tc>
        <w:tc>
          <w:tcPr>
            <w:tcW w:w="1380" w:type="dxa"/>
            <w:gridSpan w:val="2"/>
            <w:tcBorders>
              <w:top w:val="single" w:sz="8" w:space="0" w:color="000000"/>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обеспеченность на 10 тыс. населения</w:t>
            </w:r>
          </w:p>
        </w:tc>
        <w:tc>
          <w:tcPr>
            <w:tcW w:w="1657" w:type="dxa"/>
            <w:gridSpan w:val="3"/>
            <w:tcBorders>
              <w:top w:val="single" w:sz="8" w:space="0" w:color="000000"/>
              <w:left w:val="single" w:sz="4" w:space="0" w:color="000000"/>
              <w:bottom w:val="single" w:sz="4" w:space="0" w:color="000000"/>
              <w:right w:val="single" w:sz="8" w:space="0" w:color="000000"/>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занятость койки  (норматив -                     336 дней)</w:t>
            </w:r>
          </w:p>
        </w:tc>
      </w:tr>
      <w:tr w:rsidR="00ED7F17" w:rsidTr="00ED7F17">
        <w:trPr>
          <w:trHeight w:val="531"/>
        </w:trPr>
        <w:tc>
          <w:tcPr>
            <w:tcW w:w="10031" w:type="dxa"/>
            <w:vMerge/>
            <w:tcBorders>
              <w:top w:val="single" w:sz="8" w:space="0" w:color="000000"/>
              <w:left w:val="single" w:sz="8"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2536"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2018</w:t>
            </w:r>
          </w:p>
        </w:tc>
        <w:tc>
          <w:tcPr>
            <w:tcW w:w="2708"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I кв. 2019</w:t>
            </w:r>
          </w:p>
        </w:tc>
        <w:tc>
          <w:tcPr>
            <w:tcW w:w="576"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2018</w:t>
            </w:r>
          </w:p>
        </w:tc>
        <w:tc>
          <w:tcPr>
            <w:tcW w:w="804"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I кв. 2019</w:t>
            </w:r>
          </w:p>
        </w:tc>
        <w:tc>
          <w:tcPr>
            <w:tcW w:w="728"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2018</w:t>
            </w:r>
          </w:p>
        </w:tc>
        <w:tc>
          <w:tcPr>
            <w:tcW w:w="929" w:type="dxa"/>
            <w:gridSpan w:val="2"/>
            <w:tcBorders>
              <w:top w:val="nil"/>
              <w:left w:val="single" w:sz="4" w:space="0" w:color="000000"/>
              <w:bottom w:val="single" w:sz="4" w:space="0" w:color="000000"/>
              <w:right w:val="single" w:sz="8" w:space="0" w:color="000000"/>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b/>
                <w:bCs/>
                <w:color w:val="000000"/>
                <w:sz w:val="20"/>
                <w:szCs w:val="20"/>
                <w:lang w:eastAsia="ru-RU"/>
              </w:rPr>
              <w:t>I кв. 2019*</w:t>
            </w:r>
          </w:p>
        </w:tc>
      </w:tr>
      <w:tr w:rsidR="00ED7F17" w:rsidTr="00ED7F17">
        <w:trPr>
          <w:trHeight w:val="988"/>
        </w:trPr>
        <w:tc>
          <w:tcPr>
            <w:tcW w:w="1810" w:type="dxa"/>
            <w:tcBorders>
              <w:top w:val="nil"/>
              <w:left w:val="single" w:sz="8"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Астраханская область</w:t>
            </w:r>
          </w:p>
        </w:tc>
        <w:tc>
          <w:tcPr>
            <w:tcW w:w="2536"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372 (из них: для б-х с острым нарушением мозгового кровообращения -100; интенсивной терапии - 21)</w:t>
            </w:r>
          </w:p>
        </w:tc>
        <w:tc>
          <w:tcPr>
            <w:tcW w:w="2708"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356 (из них: для б-х с острым нарушением мозгового кровообращения -88; интенсивной терапии -23)</w:t>
            </w:r>
          </w:p>
        </w:tc>
        <w:tc>
          <w:tcPr>
            <w:tcW w:w="576"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3,65</w:t>
            </w:r>
          </w:p>
        </w:tc>
        <w:tc>
          <w:tcPr>
            <w:tcW w:w="804"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3,49</w:t>
            </w:r>
          </w:p>
        </w:tc>
        <w:tc>
          <w:tcPr>
            <w:tcW w:w="728"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323,0</w:t>
            </w:r>
          </w:p>
        </w:tc>
        <w:tc>
          <w:tcPr>
            <w:tcW w:w="929" w:type="dxa"/>
            <w:gridSpan w:val="2"/>
            <w:tcBorders>
              <w:top w:val="nil"/>
              <w:left w:val="single" w:sz="4" w:space="0" w:color="000000"/>
              <w:bottom w:val="single" w:sz="4" w:space="0" w:color="000000"/>
              <w:right w:val="single" w:sz="8" w:space="0" w:color="000000"/>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369,5</w:t>
            </w:r>
          </w:p>
        </w:tc>
      </w:tr>
      <w:tr w:rsidR="00ED7F17" w:rsidTr="00ED7F17">
        <w:trPr>
          <w:trHeight w:val="1161"/>
        </w:trPr>
        <w:tc>
          <w:tcPr>
            <w:tcW w:w="1810" w:type="dxa"/>
            <w:tcBorders>
              <w:top w:val="nil"/>
              <w:left w:val="single" w:sz="8"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ГБУЗ АО АМОКБ</w:t>
            </w:r>
          </w:p>
        </w:tc>
        <w:tc>
          <w:tcPr>
            <w:tcW w:w="2536"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104(из них: для б-х с острым нарушением мозгового кровообращения -34; интенсивной терапии - 6)</w:t>
            </w:r>
          </w:p>
        </w:tc>
        <w:tc>
          <w:tcPr>
            <w:tcW w:w="2708"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99 (из них: для б-х с острым нарушением мозгового кровообращения -32; интенсивной терапии - 6)</w:t>
            </w:r>
          </w:p>
        </w:tc>
        <w:tc>
          <w:tcPr>
            <w:tcW w:w="576"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w:t>
            </w:r>
          </w:p>
        </w:tc>
        <w:tc>
          <w:tcPr>
            <w:tcW w:w="804"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w:t>
            </w:r>
          </w:p>
        </w:tc>
        <w:tc>
          <w:tcPr>
            <w:tcW w:w="728"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318,9</w:t>
            </w:r>
          </w:p>
        </w:tc>
        <w:tc>
          <w:tcPr>
            <w:tcW w:w="929" w:type="dxa"/>
            <w:gridSpan w:val="2"/>
            <w:tcBorders>
              <w:top w:val="nil"/>
              <w:left w:val="single" w:sz="4" w:space="0" w:color="000000"/>
              <w:bottom w:val="single" w:sz="4" w:space="0" w:color="000000"/>
              <w:right w:val="single" w:sz="8" w:space="0" w:color="000000"/>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375,2</w:t>
            </w:r>
          </w:p>
        </w:tc>
      </w:tr>
      <w:tr w:rsidR="00ED7F17" w:rsidTr="00ED7F17">
        <w:trPr>
          <w:trHeight w:val="315"/>
        </w:trPr>
        <w:tc>
          <w:tcPr>
            <w:tcW w:w="1810" w:type="dxa"/>
            <w:tcBorders>
              <w:top w:val="nil"/>
              <w:left w:val="single" w:sz="8"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ГБУЗ АО «ГКБ №2»</w:t>
            </w:r>
          </w:p>
        </w:tc>
        <w:tc>
          <w:tcPr>
            <w:tcW w:w="2536" w:type="dxa"/>
            <w:tcBorders>
              <w:top w:val="nil"/>
              <w:left w:val="single" w:sz="4" w:space="0" w:color="000000"/>
              <w:bottom w:val="single" w:sz="4" w:space="0" w:color="000000"/>
              <w:right w:val="nil"/>
            </w:tcBorders>
            <w:tcMar>
              <w:top w:w="0" w:type="dxa"/>
              <w:left w:w="108" w:type="dxa"/>
              <w:bottom w:w="0" w:type="dxa"/>
              <w:right w:w="108" w:type="dxa"/>
            </w:tcMar>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24</w:t>
            </w:r>
          </w:p>
        </w:tc>
        <w:tc>
          <w:tcPr>
            <w:tcW w:w="2708" w:type="dxa"/>
            <w:tcBorders>
              <w:top w:val="nil"/>
              <w:left w:val="single" w:sz="4" w:space="0" w:color="000000"/>
              <w:bottom w:val="single" w:sz="4" w:space="0" w:color="000000"/>
              <w:right w:val="nil"/>
            </w:tcBorders>
            <w:tcMar>
              <w:top w:w="0" w:type="dxa"/>
              <w:left w:w="108" w:type="dxa"/>
              <w:bottom w:w="0" w:type="dxa"/>
              <w:right w:w="108" w:type="dxa"/>
            </w:tcMar>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23</w:t>
            </w:r>
          </w:p>
        </w:tc>
        <w:tc>
          <w:tcPr>
            <w:tcW w:w="576"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w:t>
            </w:r>
          </w:p>
        </w:tc>
        <w:tc>
          <w:tcPr>
            <w:tcW w:w="804"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w:t>
            </w:r>
          </w:p>
        </w:tc>
        <w:tc>
          <w:tcPr>
            <w:tcW w:w="728"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341,5</w:t>
            </w:r>
          </w:p>
        </w:tc>
        <w:tc>
          <w:tcPr>
            <w:tcW w:w="929" w:type="dxa"/>
            <w:gridSpan w:val="2"/>
            <w:tcBorders>
              <w:top w:val="nil"/>
              <w:left w:val="single" w:sz="4" w:space="0" w:color="000000"/>
              <w:bottom w:val="single" w:sz="4" w:space="0" w:color="000000"/>
              <w:right w:val="single" w:sz="8" w:space="0" w:color="000000"/>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330,6</w:t>
            </w:r>
          </w:p>
        </w:tc>
      </w:tr>
      <w:tr w:rsidR="00ED7F17" w:rsidTr="00ED7F17">
        <w:trPr>
          <w:trHeight w:val="1228"/>
        </w:trPr>
        <w:tc>
          <w:tcPr>
            <w:tcW w:w="1810" w:type="dxa"/>
            <w:tcBorders>
              <w:top w:val="nil"/>
              <w:left w:val="single" w:sz="8"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ГБУЗ АО «ГКБ №3»</w:t>
            </w:r>
          </w:p>
        </w:tc>
        <w:tc>
          <w:tcPr>
            <w:tcW w:w="2536"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144 (из них: для б-х с острым нарушением мозгового кровообращения - 56; интенсивной терапии - 14)</w:t>
            </w:r>
          </w:p>
        </w:tc>
        <w:tc>
          <w:tcPr>
            <w:tcW w:w="2708"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146 (из них: для б-х с острым нарушением мозгового кровообращения - 52; интенсивной терапии - 14)</w:t>
            </w:r>
          </w:p>
        </w:tc>
        <w:tc>
          <w:tcPr>
            <w:tcW w:w="576"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w:t>
            </w:r>
          </w:p>
        </w:tc>
        <w:tc>
          <w:tcPr>
            <w:tcW w:w="804"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w:t>
            </w:r>
          </w:p>
        </w:tc>
        <w:tc>
          <w:tcPr>
            <w:tcW w:w="728"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329,4</w:t>
            </w:r>
          </w:p>
        </w:tc>
        <w:tc>
          <w:tcPr>
            <w:tcW w:w="929" w:type="dxa"/>
            <w:gridSpan w:val="2"/>
            <w:tcBorders>
              <w:top w:val="nil"/>
              <w:left w:val="single" w:sz="4" w:space="0" w:color="000000"/>
              <w:bottom w:val="single" w:sz="4" w:space="0" w:color="000000"/>
              <w:right w:val="single" w:sz="8" w:space="0" w:color="000000"/>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355,5</w:t>
            </w:r>
          </w:p>
        </w:tc>
      </w:tr>
      <w:tr w:rsidR="00ED7F17" w:rsidTr="00ED7F17">
        <w:trPr>
          <w:trHeight w:val="1260"/>
        </w:trPr>
        <w:tc>
          <w:tcPr>
            <w:tcW w:w="1810" w:type="dxa"/>
            <w:tcBorders>
              <w:top w:val="nil"/>
              <w:left w:val="single" w:sz="8"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ГБУЗ АО «Ахтубинская РБ»</w:t>
            </w:r>
          </w:p>
        </w:tc>
        <w:tc>
          <w:tcPr>
            <w:tcW w:w="2536"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27 (из них: для б-х с острым нарушением мозгового кровообращения - 10; интенсивной терапии - 1)</w:t>
            </w:r>
          </w:p>
        </w:tc>
        <w:tc>
          <w:tcPr>
            <w:tcW w:w="2708"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23  (из них: для б-х с острым нарушением мозгового кровообращения - 4; интенсивной терапии - 3)</w:t>
            </w:r>
          </w:p>
        </w:tc>
        <w:tc>
          <w:tcPr>
            <w:tcW w:w="576"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4,57</w:t>
            </w:r>
          </w:p>
        </w:tc>
        <w:tc>
          <w:tcPr>
            <w:tcW w:w="804"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3,9</w:t>
            </w:r>
          </w:p>
        </w:tc>
        <w:tc>
          <w:tcPr>
            <w:tcW w:w="728"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334,7</w:t>
            </w:r>
          </w:p>
        </w:tc>
        <w:tc>
          <w:tcPr>
            <w:tcW w:w="929" w:type="dxa"/>
            <w:gridSpan w:val="2"/>
            <w:tcBorders>
              <w:top w:val="nil"/>
              <w:left w:val="single" w:sz="4" w:space="0" w:color="000000"/>
              <w:bottom w:val="single" w:sz="4" w:space="0" w:color="000000"/>
              <w:right w:val="single" w:sz="8" w:space="0" w:color="000000"/>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515,1</w:t>
            </w:r>
          </w:p>
        </w:tc>
      </w:tr>
      <w:tr w:rsidR="00ED7F17" w:rsidTr="00ED7F17">
        <w:trPr>
          <w:trHeight w:val="315"/>
        </w:trPr>
        <w:tc>
          <w:tcPr>
            <w:tcW w:w="1810" w:type="dxa"/>
            <w:tcBorders>
              <w:top w:val="nil"/>
              <w:left w:val="single" w:sz="8"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ГБУЗ АО «Володарская РБ»</w:t>
            </w:r>
          </w:p>
        </w:tc>
        <w:tc>
          <w:tcPr>
            <w:tcW w:w="2536" w:type="dxa"/>
            <w:tcBorders>
              <w:top w:val="nil"/>
              <w:left w:val="single" w:sz="4" w:space="0" w:color="000000"/>
              <w:bottom w:val="single" w:sz="4" w:space="0" w:color="000000"/>
              <w:right w:val="nil"/>
            </w:tcBorders>
            <w:tcMar>
              <w:top w:w="0" w:type="dxa"/>
              <w:left w:w="108" w:type="dxa"/>
              <w:bottom w:w="0" w:type="dxa"/>
              <w:right w:w="108" w:type="dxa"/>
            </w:tcMar>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w:t>
            </w:r>
          </w:p>
        </w:tc>
        <w:tc>
          <w:tcPr>
            <w:tcW w:w="2708" w:type="dxa"/>
            <w:tcBorders>
              <w:top w:val="nil"/>
              <w:left w:val="single" w:sz="4" w:space="0" w:color="000000"/>
              <w:bottom w:val="single" w:sz="4" w:space="0" w:color="000000"/>
              <w:right w:val="nil"/>
            </w:tcBorders>
            <w:tcMar>
              <w:top w:w="0" w:type="dxa"/>
              <w:left w:w="108" w:type="dxa"/>
              <w:bottom w:w="0" w:type="dxa"/>
              <w:right w:w="108" w:type="dxa"/>
            </w:tcMar>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w:t>
            </w:r>
          </w:p>
        </w:tc>
        <w:tc>
          <w:tcPr>
            <w:tcW w:w="576"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0,21</w:t>
            </w:r>
          </w:p>
        </w:tc>
        <w:tc>
          <w:tcPr>
            <w:tcW w:w="804"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0,21</w:t>
            </w:r>
          </w:p>
        </w:tc>
        <w:tc>
          <w:tcPr>
            <w:tcW w:w="728"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227,0</w:t>
            </w:r>
          </w:p>
        </w:tc>
        <w:tc>
          <w:tcPr>
            <w:tcW w:w="929" w:type="dxa"/>
            <w:gridSpan w:val="2"/>
            <w:tcBorders>
              <w:top w:val="nil"/>
              <w:left w:val="single" w:sz="4" w:space="0" w:color="000000"/>
              <w:bottom w:val="single" w:sz="4" w:space="0" w:color="000000"/>
              <w:right w:val="single" w:sz="8" w:space="0" w:color="000000"/>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476,0</w:t>
            </w:r>
          </w:p>
        </w:tc>
      </w:tr>
      <w:tr w:rsidR="00ED7F17" w:rsidTr="00ED7F17">
        <w:trPr>
          <w:trHeight w:val="315"/>
        </w:trPr>
        <w:tc>
          <w:tcPr>
            <w:tcW w:w="1810" w:type="dxa"/>
            <w:tcBorders>
              <w:top w:val="nil"/>
              <w:left w:val="single" w:sz="8"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ГБУЗ АО «Икрянинская РБ»</w:t>
            </w:r>
          </w:p>
        </w:tc>
        <w:tc>
          <w:tcPr>
            <w:tcW w:w="2536" w:type="dxa"/>
            <w:tcBorders>
              <w:top w:val="nil"/>
              <w:left w:val="single" w:sz="4" w:space="0" w:color="000000"/>
              <w:bottom w:val="single" w:sz="4" w:space="0" w:color="000000"/>
              <w:right w:val="nil"/>
            </w:tcBorders>
            <w:tcMar>
              <w:top w:w="0" w:type="dxa"/>
              <w:left w:w="108" w:type="dxa"/>
              <w:bottom w:w="0" w:type="dxa"/>
              <w:right w:w="108" w:type="dxa"/>
            </w:tcMar>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w:t>
            </w:r>
          </w:p>
        </w:tc>
        <w:tc>
          <w:tcPr>
            <w:tcW w:w="2708" w:type="dxa"/>
            <w:tcBorders>
              <w:top w:val="nil"/>
              <w:left w:val="single" w:sz="4" w:space="0" w:color="000000"/>
              <w:bottom w:val="single" w:sz="4" w:space="0" w:color="000000"/>
              <w:right w:val="nil"/>
            </w:tcBorders>
            <w:tcMar>
              <w:top w:w="0" w:type="dxa"/>
              <w:left w:w="108" w:type="dxa"/>
              <w:bottom w:w="0" w:type="dxa"/>
              <w:right w:w="108" w:type="dxa"/>
            </w:tcMar>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w:t>
            </w:r>
          </w:p>
        </w:tc>
        <w:tc>
          <w:tcPr>
            <w:tcW w:w="576"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2,11</w:t>
            </w:r>
          </w:p>
        </w:tc>
        <w:tc>
          <w:tcPr>
            <w:tcW w:w="804"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2,11</w:t>
            </w:r>
          </w:p>
        </w:tc>
        <w:tc>
          <w:tcPr>
            <w:tcW w:w="728"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327,9</w:t>
            </w:r>
          </w:p>
        </w:tc>
        <w:tc>
          <w:tcPr>
            <w:tcW w:w="929" w:type="dxa"/>
            <w:gridSpan w:val="2"/>
            <w:tcBorders>
              <w:top w:val="nil"/>
              <w:left w:val="single" w:sz="4" w:space="0" w:color="000000"/>
              <w:bottom w:val="single" w:sz="4" w:space="0" w:color="000000"/>
              <w:right w:val="single" w:sz="8" w:space="0" w:color="000000"/>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326,4</w:t>
            </w:r>
          </w:p>
        </w:tc>
      </w:tr>
      <w:tr w:rsidR="00ED7F17" w:rsidTr="00ED7F17">
        <w:trPr>
          <w:trHeight w:val="315"/>
        </w:trPr>
        <w:tc>
          <w:tcPr>
            <w:tcW w:w="1810" w:type="dxa"/>
            <w:tcBorders>
              <w:top w:val="nil"/>
              <w:left w:val="single" w:sz="8"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ГБУЗ АО «Камызякская РБ»</w:t>
            </w:r>
          </w:p>
        </w:tc>
        <w:tc>
          <w:tcPr>
            <w:tcW w:w="2536" w:type="dxa"/>
            <w:tcBorders>
              <w:top w:val="nil"/>
              <w:left w:val="single" w:sz="4" w:space="0" w:color="000000"/>
              <w:bottom w:val="single" w:sz="4" w:space="0" w:color="000000"/>
              <w:right w:val="nil"/>
            </w:tcBorders>
            <w:tcMar>
              <w:top w:w="0" w:type="dxa"/>
              <w:left w:w="108" w:type="dxa"/>
              <w:bottom w:w="0" w:type="dxa"/>
              <w:right w:w="108" w:type="dxa"/>
            </w:tcMar>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16</w:t>
            </w:r>
          </w:p>
        </w:tc>
        <w:tc>
          <w:tcPr>
            <w:tcW w:w="2708" w:type="dxa"/>
            <w:tcBorders>
              <w:top w:val="nil"/>
              <w:left w:val="single" w:sz="4" w:space="0" w:color="000000"/>
              <w:bottom w:val="single" w:sz="4" w:space="0" w:color="000000"/>
              <w:right w:val="nil"/>
            </w:tcBorders>
            <w:tcMar>
              <w:top w:w="0" w:type="dxa"/>
              <w:left w:w="108" w:type="dxa"/>
              <w:bottom w:w="0" w:type="dxa"/>
              <w:right w:w="108" w:type="dxa"/>
            </w:tcMar>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w:t>
            </w:r>
          </w:p>
        </w:tc>
        <w:tc>
          <w:tcPr>
            <w:tcW w:w="576"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3,4</w:t>
            </w:r>
          </w:p>
        </w:tc>
        <w:tc>
          <w:tcPr>
            <w:tcW w:w="804"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2,12</w:t>
            </w:r>
          </w:p>
        </w:tc>
        <w:tc>
          <w:tcPr>
            <w:tcW w:w="728"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325,2</w:t>
            </w:r>
          </w:p>
        </w:tc>
        <w:tc>
          <w:tcPr>
            <w:tcW w:w="929" w:type="dxa"/>
            <w:gridSpan w:val="2"/>
            <w:tcBorders>
              <w:top w:val="nil"/>
              <w:left w:val="single" w:sz="4" w:space="0" w:color="000000"/>
              <w:bottom w:val="single" w:sz="4" w:space="0" w:color="000000"/>
              <w:right w:val="single" w:sz="8" w:space="0" w:color="000000"/>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434,0</w:t>
            </w:r>
          </w:p>
        </w:tc>
      </w:tr>
      <w:tr w:rsidR="00ED7F17" w:rsidTr="00ED7F17">
        <w:trPr>
          <w:trHeight w:val="315"/>
        </w:trPr>
        <w:tc>
          <w:tcPr>
            <w:tcW w:w="1810" w:type="dxa"/>
            <w:tcBorders>
              <w:top w:val="nil"/>
              <w:left w:val="single" w:sz="8"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ГБУЗ АО «Красноярская РБ»</w:t>
            </w:r>
          </w:p>
        </w:tc>
        <w:tc>
          <w:tcPr>
            <w:tcW w:w="2536" w:type="dxa"/>
            <w:tcBorders>
              <w:top w:val="nil"/>
              <w:left w:val="single" w:sz="4" w:space="0" w:color="000000"/>
              <w:bottom w:val="single" w:sz="4" w:space="0" w:color="000000"/>
              <w:right w:val="nil"/>
            </w:tcBorders>
            <w:tcMar>
              <w:top w:w="0" w:type="dxa"/>
              <w:left w:w="108" w:type="dxa"/>
              <w:bottom w:w="0" w:type="dxa"/>
              <w:right w:w="108" w:type="dxa"/>
            </w:tcMar>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w:t>
            </w:r>
          </w:p>
        </w:tc>
        <w:tc>
          <w:tcPr>
            <w:tcW w:w="2708" w:type="dxa"/>
            <w:tcBorders>
              <w:top w:val="nil"/>
              <w:left w:val="single" w:sz="4" w:space="0" w:color="000000"/>
              <w:bottom w:val="single" w:sz="4" w:space="0" w:color="000000"/>
              <w:right w:val="nil"/>
            </w:tcBorders>
            <w:tcMar>
              <w:top w:w="0" w:type="dxa"/>
              <w:left w:w="108" w:type="dxa"/>
              <w:bottom w:w="0" w:type="dxa"/>
              <w:right w:w="108" w:type="dxa"/>
            </w:tcMar>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7</w:t>
            </w:r>
          </w:p>
        </w:tc>
        <w:tc>
          <w:tcPr>
            <w:tcW w:w="576"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1,88</w:t>
            </w:r>
          </w:p>
        </w:tc>
        <w:tc>
          <w:tcPr>
            <w:tcW w:w="804"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1,88</w:t>
            </w:r>
          </w:p>
        </w:tc>
        <w:tc>
          <w:tcPr>
            <w:tcW w:w="728"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305,9</w:t>
            </w:r>
          </w:p>
        </w:tc>
        <w:tc>
          <w:tcPr>
            <w:tcW w:w="929" w:type="dxa"/>
            <w:gridSpan w:val="2"/>
            <w:tcBorders>
              <w:top w:val="nil"/>
              <w:left w:val="single" w:sz="4" w:space="0" w:color="000000"/>
              <w:bottom w:val="single" w:sz="4" w:space="0" w:color="000000"/>
              <w:right w:val="single" w:sz="8" w:space="0" w:color="000000"/>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400,6</w:t>
            </w:r>
          </w:p>
        </w:tc>
      </w:tr>
      <w:tr w:rsidR="00ED7F17" w:rsidTr="00ED7F17">
        <w:trPr>
          <w:trHeight w:val="315"/>
        </w:trPr>
        <w:tc>
          <w:tcPr>
            <w:tcW w:w="1810" w:type="dxa"/>
            <w:tcBorders>
              <w:top w:val="nil"/>
              <w:left w:val="single" w:sz="8"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ГБУЗ АО «Лиманская РБ»</w:t>
            </w:r>
          </w:p>
        </w:tc>
        <w:tc>
          <w:tcPr>
            <w:tcW w:w="2536" w:type="dxa"/>
            <w:tcBorders>
              <w:top w:val="nil"/>
              <w:left w:val="single" w:sz="4" w:space="0" w:color="000000"/>
              <w:bottom w:val="single" w:sz="4" w:space="0" w:color="000000"/>
              <w:right w:val="nil"/>
            </w:tcBorders>
            <w:tcMar>
              <w:top w:w="0" w:type="dxa"/>
              <w:left w:w="108" w:type="dxa"/>
              <w:bottom w:w="0" w:type="dxa"/>
              <w:right w:w="108" w:type="dxa"/>
            </w:tcMar>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w:t>
            </w:r>
          </w:p>
        </w:tc>
        <w:tc>
          <w:tcPr>
            <w:tcW w:w="2708" w:type="dxa"/>
            <w:tcBorders>
              <w:top w:val="nil"/>
              <w:left w:val="single" w:sz="4" w:space="0" w:color="000000"/>
              <w:bottom w:val="single" w:sz="4" w:space="0" w:color="000000"/>
              <w:right w:val="nil"/>
            </w:tcBorders>
            <w:tcMar>
              <w:top w:w="0" w:type="dxa"/>
              <w:left w:w="108" w:type="dxa"/>
              <w:bottom w:w="0" w:type="dxa"/>
              <w:right w:w="108" w:type="dxa"/>
            </w:tcMar>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w:t>
            </w:r>
          </w:p>
        </w:tc>
        <w:tc>
          <w:tcPr>
            <w:tcW w:w="576"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2,97</w:t>
            </w:r>
          </w:p>
        </w:tc>
        <w:tc>
          <w:tcPr>
            <w:tcW w:w="804"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2,64</w:t>
            </w:r>
          </w:p>
        </w:tc>
        <w:tc>
          <w:tcPr>
            <w:tcW w:w="728"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330,6</w:t>
            </w:r>
          </w:p>
        </w:tc>
        <w:tc>
          <w:tcPr>
            <w:tcW w:w="929" w:type="dxa"/>
            <w:gridSpan w:val="2"/>
            <w:tcBorders>
              <w:top w:val="nil"/>
              <w:left w:val="single" w:sz="4" w:space="0" w:color="000000"/>
              <w:bottom w:val="single" w:sz="4" w:space="0" w:color="000000"/>
              <w:right w:val="single" w:sz="8" w:space="0" w:color="000000"/>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424,5</w:t>
            </w:r>
          </w:p>
        </w:tc>
      </w:tr>
      <w:tr w:rsidR="00ED7F17" w:rsidTr="00ED7F17">
        <w:trPr>
          <w:trHeight w:val="315"/>
        </w:trPr>
        <w:tc>
          <w:tcPr>
            <w:tcW w:w="1810" w:type="dxa"/>
            <w:tcBorders>
              <w:top w:val="nil"/>
              <w:left w:val="single" w:sz="8"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ГБУЗ АО «Наримановская РБ»</w:t>
            </w:r>
          </w:p>
        </w:tc>
        <w:tc>
          <w:tcPr>
            <w:tcW w:w="2536" w:type="dxa"/>
            <w:tcBorders>
              <w:top w:val="nil"/>
              <w:left w:val="single" w:sz="4" w:space="0" w:color="000000"/>
              <w:bottom w:val="single" w:sz="4" w:space="0" w:color="000000"/>
              <w:right w:val="nil"/>
            </w:tcBorders>
            <w:tcMar>
              <w:top w:w="0" w:type="dxa"/>
              <w:left w:w="108" w:type="dxa"/>
              <w:bottom w:w="0" w:type="dxa"/>
              <w:right w:w="108" w:type="dxa"/>
            </w:tcMar>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10</w:t>
            </w:r>
          </w:p>
        </w:tc>
        <w:tc>
          <w:tcPr>
            <w:tcW w:w="2708" w:type="dxa"/>
            <w:tcBorders>
              <w:top w:val="nil"/>
              <w:left w:val="single" w:sz="4" w:space="0" w:color="000000"/>
              <w:bottom w:val="single" w:sz="4" w:space="0" w:color="000000"/>
              <w:right w:val="nil"/>
            </w:tcBorders>
            <w:tcMar>
              <w:top w:w="0" w:type="dxa"/>
              <w:left w:w="108" w:type="dxa"/>
              <w:bottom w:w="0" w:type="dxa"/>
              <w:right w:w="108" w:type="dxa"/>
            </w:tcMar>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9</w:t>
            </w:r>
          </w:p>
        </w:tc>
        <w:tc>
          <w:tcPr>
            <w:tcW w:w="576"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2,07</w:t>
            </w:r>
          </w:p>
        </w:tc>
        <w:tc>
          <w:tcPr>
            <w:tcW w:w="804"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1,86</w:t>
            </w:r>
          </w:p>
        </w:tc>
        <w:tc>
          <w:tcPr>
            <w:tcW w:w="728"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307,1</w:t>
            </w:r>
          </w:p>
        </w:tc>
        <w:tc>
          <w:tcPr>
            <w:tcW w:w="929" w:type="dxa"/>
            <w:gridSpan w:val="2"/>
            <w:tcBorders>
              <w:top w:val="nil"/>
              <w:left w:val="single" w:sz="4" w:space="0" w:color="000000"/>
              <w:bottom w:val="single" w:sz="4" w:space="0" w:color="000000"/>
              <w:right w:val="single" w:sz="8" w:space="0" w:color="000000"/>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171,1</w:t>
            </w:r>
          </w:p>
        </w:tc>
      </w:tr>
      <w:tr w:rsidR="00ED7F17" w:rsidTr="00ED7F17">
        <w:trPr>
          <w:trHeight w:val="315"/>
        </w:trPr>
        <w:tc>
          <w:tcPr>
            <w:tcW w:w="1810" w:type="dxa"/>
            <w:tcBorders>
              <w:top w:val="nil"/>
              <w:left w:val="single" w:sz="8"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ГБУЗ АО «Харабалинская РБ»</w:t>
            </w:r>
          </w:p>
        </w:tc>
        <w:tc>
          <w:tcPr>
            <w:tcW w:w="2536" w:type="dxa"/>
            <w:tcBorders>
              <w:top w:val="nil"/>
              <w:left w:val="single" w:sz="4" w:space="0" w:color="000000"/>
              <w:bottom w:val="single" w:sz="4" w:space="0" w:color="000000"/>
              <w:right w:val="nil"/>
            </w:tcBorders>
            <w:tcMar>
              <w:top w:w="0" w:type="dxa"/>
              <w:left w:w="108" w:type="dxa"/>
              <w:bottom w:w="0" w:type="dxa"/>
              <w:right w:w="108" w:type="dxa"/>
            </w:tcMar>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w:t>
            </w:r>
          </w:p>
        </w:tc>
        <w:tc>
          <w:tcPr>
            <w:tcW w:w="2708" w:type="dxa"/>
            <w:tcBorders>
              <w:top w:val="nil"/>
              <w:left w:val="single" w:sz="4" w:space="0" w:color="000000"/>
              <w:bottom w:val="single" w:sz="4" w:space="0" w:color="000000"/>
              <w:right w:val="nil"/>
            </w:tcBorders>
            <w:tcMar>
              <w:top w:w="0" w:type="dxa"/>
              <w:left w:w="108" w:type="dxa"/>
              <w:bottom w:w="0" w:type="dxa"/>
              <w:right w:w="108" w:type="dxa"/>
            </w:tcMar>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12</w:t>
            </w:r>
          </w:p>
        </w:tc>
        <w:tc>
          <w:tcPr>
            <w:tcW w:w="576"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2,96</w:t>
            </w:r>
          </w:p>
        </w:tc>
        <w:tc>
          <w:tcPr>
            <w:tcW w:w="804"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2,96</w:t>
            </w:r>
          </w:p>
        </w:tc>
        <w:tc>
          <w:tcPr>
            <w:tcW w:w="728" w:type="dxa"/>
            <w:tcBorders>
              <w:top w:val="nil"/>
              <w:left w:val="single" w:sz="4" w:space="0" w:color="000000"/>
              <w:bottom w:val="single" w:sz="4"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316,9</w:t>
            </w:r>
          </w:p>
        </w:tc>
        <w:tc>
          <w:tcPr>
            <w:tcW w:w="929" w:type="dxa"/>
            <w:gridSpan w:val="2"/>
            <w:tcBorders>
              <w:top w:val="nil"/>
              <w:left w:val="single" w:sz="4" w:space="0" w:color="000000"/>
              <w:bottom w:val="single" w:sz="4" w:space="0" w:color="000000"/>
              <w:right w:val="single" w:sz="8" w:space="0" w:color="000000"/>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359,0</w:t>
            </w:r>
          </w:p>
        </w:tc>
      </w:tr>
      <w:tr w:rsidR="00ED7F17" w:rsidTr="00ED7F17">
        <w:trPr>
          <w:trHeight w:val="330"/>
        </w:trPr>
        <w:tc>
          <w:tcPr>
            <w:tcW w:w="181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rsidR="00ED7F17" w:rsidRDefault="00ED7F17">
            <w:pPr>
              <w:suppressAutoHyphens w:val="0"/>
              <w:rPr>
                <w:rFonts w:ascii="Arial" w:eastAsia="Arial" w:hAnsi="Arial" w:cs="Arial"/>
                <w:sz w:val="22"/>
                <w:szCs w:val="22"/>
              </w:rPr>
            </w:pPr>
            <w:r>
              <w:rPr>
                <w:color w:val="000000"/>
                <w:sz w:val="20"/>
                <w:szCs w:val="20"/>
                <w:lang w:eastAsia="ru-RU"/>
              </w:rPr>
              <w:t>ГБУЗ АО «Черноярская РБ»</w:t>
            </w:r>
          </w:p>
        </w:tc>
        <w:tc>
          <w:tcPr>
            <w:tcW w:w="2536" w:type="dxa"/>
            <w:tcBorders>
              <w:top w:val="nil"/>
              <w:left w:val="single" w:sz="4" w:space="0" w:color="000000"/>
              <w:bottom w:val="single" w:sz="8" w:space="0" w:color="000000"/>
              <w:right w:val="nil"/>
            </w:tcBorders>
            <w:tcMar>
              <w:top w:w="0" w:type="dxa"/>
              <w:left w:w="108" w:type="dxa"/>
              <w:bottom w:w="0" w:type="dxa"/>
              <w:right w:w="108" w:type="dxa"/>
            </w:tcMar>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w:t>
            </w:r>
          </w:p>
        </w:tc>
        <w:tc>
          <w:tcPr>
            <w:tcW w:w="2708" w:type="dxa"/>
            <w:tcBorders>
              <w:top w:val="nil"/>
              <w:left w:val="single" w:sz="4" w:space="0" w:color="000000"/>
              <w:bottom w:val="single" w:sz="8" w:space="0" w:color="000000"/>
              <w:right w:val="nil"/>
            </w:tcBorders>
            <w:tcMar>
              <w:top w:w="0" w:type="dxa"/>
              <w:left w:w="108" w:type="dxa"/>
              <w:bottom w:w="0" w:type="dxa"/>
              <w:right w:w="108" w:type="dxa"/>
            </w:tcMar>
            <w:vAlign w:val="bottom"/>
            <w:hideMark/>
          </w:tcPr>
          <w:p w:rsidR="00ED7F17" w:rsidRDefault="00ED7F17">
            <w:pPr>
              <w:suppressAutoHyphens w:val="0"/>
              <w:jc w:val="center"/>
              <w:rPr>
                <w:rFonts w:ascii="Arial" w:eastAsia="Arial" w:hAnsi="Arial" w:cs="Arial"/>
                <w:sz w:val="22"/>
                <w:szCs w:val="22"/>
              </w:rPr>
            </w:pPr>
            <w:r>
              <w:rPr>
                <w:color w:val="000000"/>
                <w:sz w:val="20"/>
                <w:szCs w:val="20"/>
                <w:lang w:eastAsia="ru-RU"/>
              </w:rPr>
              <w:t>8</w:t>
            </w:r>
          </w:p>
        </w:tc>
        <w:tc>
          <w:tcPr>
            <w:tcW w:w="576" w:type="dxa"/>
            <w:tcBorders>
              <w:top w:val="nil"/>
              <w:left w:val="single" w:sz="4" w:space="0" w:color="000000"/>
              <w:bottom w:val="single" w:sz="8"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4,18</w:t>
            </w:r>
          </w:p>
        </w:tc>
        <w:tc>
          <w:tcPr>
            <w:tcW w:w="804" w:type="dxa"/>
            <w:tcBorders>
              <w:top w:val="nil"/>
              <w:left w:val="single" w:sz="4" w:space="0" w:color="000000"/>
              <w:bottom w:val="single" w:sz="8"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4,18</w:t>
            </w:r>
          </w:p>
        </w:tc>
        <w:tc>
          <w:tcPr>
            <w:tcW w:w="728" w:type="dxa"/>
            <w:tcBorders>
              <w:top w:val="nil"/>
              <w:left w:val="single" w:sz="4" w:space="0" w:color="000000"/>
              <w:bottom w:val="single" w:sz="8" w:space="0" w:color="000000"/>
              <w:right w:val="nil"/>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331,1</w:t>
            </w:r>
          </w:p>
        </w:tc>
        <w:tc>
          <w:tcPr>
            <w:tcW w:w="929" w:type="dxa"/>
            <w:gridSpan w:val="2"/>
            <w:tcBorders>
              <w:top w:val="nil"/>
              <w:left w:val="single" w:sz="4" w:space="0" w:color="000000"/>
              <w:bottom w:val="single" w:sz="8" w:space="0" w:color="000000"/>
              <w:right w:val="single" w:sz="8" w:space="0" w:color="000000"/>
            </w:tcBorders>
            <w:tcMar>
              <w:top w:w="0" w:type="dxa"/>
              <w:left w:w="108" w:type="dxa"/>
              <w:bottom w:w="0" w:type="dxa"/>
              <w:right w:w="108" w:type="dxa"/>
            </w:tcMar>
            <w:vAlign w:val="center"/>
            <w:hideMark/>
          </w:tcPr>
          <w:p w:rsidR="00ED7F17" w:rsidRDefault="00ED7F17">
            <w:pPr>
              <w:suppressAutoHyphens w:val="0"/>
              <w:jc w:val="center"/>
              <w:rPr>
                <w:rFonts w:ascii="Arial" w:eastAsia="Arial" w:hAnsi="Arial" w:cs="Arial"/>
                <w:sz w:val="22"/>
                <w:szCs w:val="22"/>
              </w:rPr>
            </w:pPr>
            <w:r>
              <w:rPr>
                <w:color w:val="000000"/>
                <w:sz w:val="20"/>
                <w:szCs w:val="20"/>
                <w:lang w:eastAsia="ru-RU"/>
              </w:rPr>
              <w:t>365,0</w:t>
            </w:r>
          </w:p>
        </w:tc>
      </w:tr>
    </w:tbl>
    <w:p w:rsidR="00ED7F17" w:rsidRDefault="00ED7F17" w:rsidP="00ED7F17">
      <w:pPr>
        <w:widowControl w:val="0"/>
        <w:ind w:firstLine="709"/>
        <w:jc w:val="both"/>
        <w:rPr>
          <w:rFonts w:eastAsia="Cambria"/>
          <w:lang w:bidi="hi-IN"/>
        </w:rPr>
      </w:pPr>
    </w:p>
    <w:p w:rsidR="00ED7F17" w:rsidRDefault="00ED7F17" w:rsidP="00ED7F17">
      <w:pPr>
        <w:widowControl w:val="0"/>
        <w:ind w:firstLine="709"/>
        <w:jc w:val="both"/>
        <w:rPr>
          <w:rFonts w:ascii="Arial" w:eastAsia="Arial" w:hAnsi="Arial" w:cs="Arial"/>
          <w:sz w:val="22"/>
          <w:szCs w:val="22"/>
        </w:rPr>
      </w:pPr>
      <w:r>
        <w:rPr>
          <w:rFonts w:eastAsia="Cambria"/>
          <w:lang w:bidi="hi-IN"/>
        </w:rPr>
        <w:t>Специализированная медицинская помощь пациентам с ОНМК на территории Астраханской области оказывается в трех лечебных учреждениях – РЦС на 40 коек, в том числе 8 коек БИТР на территории ГБУЗ АО АМОКБ, ПСО неврологии на 70 коек, в том числе 14 коек БИТР на территории ГБУЗ АО ГКБ №3, ПСО неврологии на  10 коек, в том числе 2 койки ПИТ на территории Ахтубинской РБ.</w:t>
      </w:r>
    </w:p>
    <w:p w:rsidR="00ED7F17" w:rsidRDefault="00ED7F17" w:rsidP="00ED7F17">
      <w:pPr>
        <w:widowControl w:val="0"/>
        <w:ind w:firstLine="709"/>
        <w:jc w:val="both"/>
      </w:pPr>
      <w:r>
        <w:rPr>
          <w:rFonts w:eastAsia="Cambria"/>
          <w:lang w:bidi="hi-IN"/>
        </w:rPr>
        <w:t>В состав РСЦ входят 10 нейрохирургических коек, 10 коек сосудистой хирургии и отделение РХМДЛ.</w:t>
      </w:r>
    </w:p>
    <w:p w:rsidR="00ED7F17" w:rsidRDefault="00ED7F17" w:rsidP="00ED7F17">
      <w:pPr>
        <w:widowControl w:val="0"/>
        <w:tabs>
          <w:tab w:val="left" w:pos="1134"/>
        </w:tabs>
        <w:suppressAutoHyphens w:val="0"/>
        <w:ind w:firstLine="709"/>
        <w:jc w:val="both"/>
      </w:pPr>
      <w:r>
        <w:rPr>
          <w:rFonts w:eastAsia="SimSun"/>
          <w:lang w:bidi="hi-IN"/>
        </w:rPr>
        <w:t>В целях улучшения оказания специализированной медицинской помощи пациентам с ОНМК в 2020 году планируется внедрение алгоритма действий при подозрении на ОНМК.</w:t>
      </w:r>
    </w:p>
    <w:p w:rsidR="00ED7F17" w:rsidRDefault="00ED7F17" w:rsidP="00ED7F17">
      <w:pPr>
        <w:widowControl w:val="0"/>
        <w:tabs>
          <w:tab w:val="left" w:pos="1134"/>
        </w:tabs>
        <w:suppressAutoHyphens w:val="0"/>
        <w:ind w:firstLine="709"/>
        <w:jc w:val="both"/>
        <w:rPr>
          <w:rFonts w:eastAsia="SimSun"/>
          <w:lang w:bidi="hi-IN"/>
        </w:rPr>
      </w:pPr>
    </w:p>
    <w:p w:rsidR="00ED7F17" w:rsidRDefault="00ED7F17" w:rsidP="00ED7F17">
      <w:pPr>
        <w:widowControl w:val="0"/>
        <w:tabs>
          <w:tab w:val="left" w:pos="1134"/>
        </w:tabs>
        <w:suppressAutoHyphens w:val="0"/>
        <w:ind w:firstLine="709"/>
        <w:jc w:val="both"/>
        <w:rPr>
          <w:rFonts w:ascii="Arial" w:eastAsia="Arial" w:hAnsi="Arial" w:cs="Arial"/>
          <w:sz w:val="22"/>
          <w:szCs w:val="22"/>
        </w:rPr>
      </w:pPr>
      <w:r>
        <w:rPr>
          <w:rFonts w:eastAsia="SimSun"/>
          <w:lang w:bidi="hi-IN"/>
        </w:rPr>
        <w:t>Алгоритм действия при подозрении ОНМК</w:t>
      </w:r>
    </w:p>
    <w:p w:rsidR="00ED7F17" w:rsidRDefault="00ED7F17" w:rsidP="00ED7F17">
      <w:pPr>
        <w:widowControl w:val="0"/>
        <w:tabs>
          <w:tab w:val="left" w:pos="1134"/>
        </w:tabs>
        <w:suppressAutoHyphens w:val="0"/>
        <w:ind w:firstLine="709"/>
        <w:jc w:val="both"/>
        <w:rPr>
          <w:rFonts w:eastAsia="SimSun"/>
          <w:highlight w:val="yellow"/>
          <w:lang w:bidi="hi-IN"/>
        </w:rPr>
      </w:pPr>
    </w:p>
    <w:p w:rsidR="00ED7F17" w:rsidRDefault="00ED7F17" w:rsidP="00ED7F17">
      <w:pPr>
        <w:widowControl w:val="0"/>
        <w:ind w:firstLine="709"/>
        <w:jc w:val="both"/>
        <w:rPr>
          <w:rFonts w:eastAsia="Arial"/>
          <w:b/>
          <w:color w:val="000000"/>
        </w:rPr>
      </w:pPr>
      <w:r>
        <w:rPr>
          <w:noProof/>
          <w:lang w:eastAsia="ru-RU"/>
        </w:rPr>
        <w:drawing>
          <wp:inline distT="0" distB="0" distL="0" distR="0">
            <wp:extent cx="5143500" cy="296418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7">
                      <a:extLst>
                        <a:ext uri="{28A0092B-C50C-407E-A947-70E740481C1C}">
                          <a14:useLocalDpi xmlns:a14="http://schemas.microsoft.com/office/drawing/2010/main" val="0"/>
                        </a:ext>
                      </a:extLst>
                    </a:blip>
                    <a:srcRect l="-21" t="-37" r="-21" b="-37"/>
                    <a:stretch>
                      <a:fillRect/>
                    </a:stretch>
                  </pic:blipFill>
                  <pic:spPr bwMode="auto">
                    <a:xfrm>
                      <a:off x="0" y="0"/>
                      <a:ext cx="5143500" cy="2964180"/>
                    </a:xfrm>
                    <a:prstGeom prst="rect">
                      <a:avLst/>
                    </a:prstGeom>
                    <a:solidFill>
                      <a:srgbClr val="FFFFFF"/>
                    </a:solidFill>
                    <a:ln>
                      <a:noFill/>
                    </a:ln>
                  </pic:spPr>
                </pic:pic>
              </a:graphicData>
            </a:graphic>
          </wp:inline>
        </w:drawing>
      </w:r>
    </w:p>
    <w:p w:rsidR="00ED7F17" w:rsidRDefault="00ED7F17" w:rsidP="00ED7F17">
      <w:pPr>
        <w:jc w:val="center"/>
        <w:rPr>
          <w:rFonts w:ascii="Arial" w:hAnsi="Arial" w:cs="Arial"/>
          <w:sz w:val="22"/>
          <w:szCs w:val="22"/>
        </w:rPr>
      </w:pPr>
      <w:r>
        <w:rPr>
          <w:b/>
          <w:color w:val="000000"/>
        </w:rPr>
        <w:t xml:space="preserve">Оказание скорой медицинской помощи пациентам с БСК </w:t>
      </w:r>
    </w:p>
    <w:p w:rsidR="00ED7F17" w:rsidRDefault="00ED7F17" w:rsidP="00ED7F17">
      <w:pPr>
        <w:ind w:firstLine="397"/>
        <w:jc w:val="both"/>
        <w:rPr>
          <w:b/>
        </w:rPr>
      </w:pPr>
    </w:p>
    <w:p w:rsidR="00ED7F17" w:rsidRDefault="00ED7F17" w:rsidP="00ED7F17">
      <w:pPr>
        <w:ind w:firstLine="709"/>
        <w:jc w:val="both"/>
        <w:rPr>
          <w:rFonts w:ascii="Arial" w:hAnsi="Arial" w:cs="Arial"/>
          <w:sz w:val="22"/>
          <w:szCs w:val="22"/>
        </w:rPr>
      </w:pPr>
      <w:r>
        <w:rPr>
          <w:highlight w:val="white"/>
        </w:rPr>
        <w:t>Скорая помощь на территории Астраханской области оказывается государственным бюджетным учреждением здравоохранения Астраханской области «Центр медицины катастроф и скорой медицинской помощи» (далее – ГБУЗ АО «ЦМК и СМП») и отделениями (пунктами) скорой медицинской помощи в районах области.</w:t>
      </w:r>
    </w:p>
    <w:p w:rsidR="00ED7F17" w:rsidRDefault="00ED7F17" w:rsidP="00ED7F17">
      <w:pPr>
        <w:ind w:firstLine="709"/>
        <w:jc w:val="both"/>
      </w:pPr>
      <w:r>
        <w:rPr>
          <w:color w:val="auto"/>
        </w:rPr>
        <w:t xml:space="preserve">В Астраханской области имеется 6 </w:t>
      </w:r>
      <w:hyperlink r:id="rId58" w:history="1">
        <w:r>
          <w:rPr>
            <w:rStyle w:val="ac"/>
            <w:color w:val="auto"/>
          </w:rPr>
          <w:t>городов</w:t>
        </w:r>
      </w:hyperlink>
      <w:r>
        <w:rPr>
          <w:color w:val="auto"/>
        </w:rPr>
        <w:t xml:space="preserve">, 7 </w:t>
      </w:r>
      <w:hyperlink r:id="rId59" w:history="1">
        <w:r>
          <w:rPr>
            <w:rStyle w:val="ac"/>
            <w:color w:val="auto"/>
          </w:rPr>
          <w:t>посёлков городского типа (пгт)</w:t>
        </w:r>
      </w:hyperlink>
      <w:r>
        <w:rPr>
          <w:color w:val="auto"/>
        </w:rPr>
        <w:t>, 151 сельских администраций, 428 сельских населённых пунктов. Имеются некоторые особенности, обусловленные географическим положением, которые не позволяют провести реорганизацию сети центральных районных больниц региона путем создания межрайонных медицинских объединений:</w:t>
      </w:r>
    </w:p>
    <w:p w:rsidR="00ED7F17" w:rsidRDefault="00ED7F17" w:rsidP="00ED7F17">
      <w:pPr>
        <w:ind w:firstLine="709"/>
        <w:jc w:val="both"/>
      </w:pPr>
      <w:r>
        <w:rPr>
          <w:color w:val="auto"/>
        </w:rPr>
        <w:t>- низкая плотность населенных пунктов в области и их значительная отдаленность друг от друга;</w:t>
      </w:r>
    </w:p>
    <w:p w:rsidR="00ED7F17" w:rsidRDefault="00ED7F17" w:rsidP="00ED7F17">
      <w:pPr>
        <w:ind w:firstLine="709"/>
        <w:jc w:val="both"/>
      </w:pPr>
      <w:r>
        <w:rPr>
          <w:color w:val="auto"/>
        </w:rPr>
        <w:t>- недостаточно развитая автодорожная сеть;</w:t>
      </w:r>
    </w:p>
    <w:p w:rsidR="00ED7F17" w:rsidRDefault="00ED7F17" w:rsidP="00ED7F17">
      <w:pPr>
        <w:ind w:firstLine="709"/>
        <w:jc w:val="both"/>
      </w:pPr>
      <w:r>
        <w:rPr>
          <w:color w:val="auto"/>
        </w:rPr>
        <w:t>- отдаленность многопрофильных медицинских организаций;</w:t>
      </w:r>
    </w:p>
    <w:p w:rsidR="00ED7F17" w:rsidRDefault="00ED7F17" w:rsidP="00ED7F17">
      <w:pPr>
        <w:ind w:firstLine="709"/>
        <w:jc w:val="both"/>
      </w:pPr>
      <w:r>
        <w:rPr>
          <w:color w:val="auto"/>
        </w:rPr>
        <w:t>- большое количество паромных переправ.</w:t>
      </w:r>
    </w:p>
    <w:p w:rsidR="00ED7F17" w:rsidRDefault="00ED7F17" w:rsidP="00ED7F17">
      <w:pPr>
        <w:ind w:firstLine="709"/>
        <w:jc w:val="both"/>
      </w:pPr>
      <w:r>
        <w:rPr>
          <w:highlight w:val="white"/>
        </w:rPr>
        <w:t>На территории области функционируют 14 отделений скорой медицинской помощи (далее – отделения СМП), из них н</w:t>
      </w:r>
      <w:r>
        <w:rPr>
          <w:rFonts w:eastAsia="Arial Unicode MS"/>
          <w:highlight w:val="white"/>
        </w:rPr>
        <w:t>а территории районов Астраханской области работают 12 отделений СМП, которые являются структурными подразделениями районных больниц.</w:t>
      </w:r>
    </w:p>
    <w:p w:rsidR="00ED7F17" w:rsidRDefault="00ED7F17" w:rsidP="00ED7F17">
      <w:pPr>
        <w:widowControl w:val="0"/>
        <w:ind w:firstLine="709"/>
        <w:jc w:val="both"/>
      </w:pPr>
      <w:r>
        <w:rPr>
          <w:rFonts w:eastAsia="Arial Unicode MS"/>
          <w:highlight w:val="white"/>
        </w:rPr>
        <w:t>На территории города Астрахани отделение СМП имеет 6 подстанций:</w:t>
      </w:r>
      <w:r>
        <w:rPr>
          <w:rFonts w:eastAsia="Lucida Sans Unicode"/>
          <w:highlight w:val="white"/>
          <w:lang w:eastAsia="hi-IN" w:bidi="hi-IN"/>
        </w:rPr>
        <w:t xml:space="preserve"> подстанция «Центральная»,- подстанция «Трусовская», подстанция «Ленинская», подстанция «АЦКК», подстанция «Комсомольская», подстанция «Советская». </w:t>
      </w:r>
      <w:r>
        <w:rPr>
          <w:highlight w:val="white"/>
        </w:rPr>
        <w:t>На территории области медицинскую помощь</w:t>
      </w:r>
      <w:r>
        <w:rPr>
          <w:rFonts w:eastAsia="Arial Unicode MS"/>
          <w:highlight w:val="white"/>
        </w:rPr>
        <w:t xml:space="preserve"> оказывают 382 общепрофильные бригады, из них 139 – врачебные бригады, 243 – фельдшерские. Кроме того, имеется 81 – специализированная бригада. </w:t>
      </w:r>
      <w:r>
        <w:rPr>
          <w:highlight w:val="white"/>
        </w:rPr>
        <w:t>В сельских районах</w:t>
      </w:r>
      <w:r>
        <w:rPr>
          <w:rFonts w:eastAsia="Arial Unicode MS"/>
          <w:highlight w:val="white"/>
        </w:rPr>
        <w:t xml:space="preserve"> Астраханской области скорую медицинскую помощь оказывают общепрофильные бригады: 47 врачебных, 187 – фельдшерских. </w:t>
      </w:r>
      <w:r>
        <w:rPr>
          <w:rFonts w:eastAsia="Lucida Sans Unicode"/>
          <w:highlight w:val="white"/>
          <w:lang w:eastAsia="hi-IN" w:bidi="hi-IN"/>
        </w:rPr>
        <w:t>Границы зон обслуживания подстанциями условны.</w:t>
      </w:r>
    </w:p>
    <w:p w:rsidR="00ED7F17" w:rsidRDefault="00ED7F17" w:rsidP="00ED7F17">
      <w:pPr>
        <w:widowControl w:val="0"/>
        <w:numPr>
          <w:ilvl w:val="0"/>
          <w:numId w:val="6"/>
        </w:numPr>
        <w:tabs>
          <w:tab w:val="left" w:pos="12508"/>
        </w:tabs>
        <w:overflowPunct/>
        <w:ind w:firstLine="709"/>
        <w:jc w:val="both"/>
      </w:pPr>
      <w:r>
        <w:rPr>
          <w:rFonts w:eastAsia="Lucida Sans Unicode"/>
          <w:highlight w:val="white"/>
          <w:lang w:eastAsia="hi-IN" w:bidi="hi-IN"/>
        </w:rPr>
        <w:t>В соответствии с распоряжением министерства здравоохранения Астраханской области от 06.11.2015 №1744р «Об организации обслуживания вызовов неотложной помощи медицинскими организациями Астраханской области» на базе оперативного отдела ГБУЗ АО «ЦМК и СМП» создана диспетчерская служба, которая распределяет вызовы по пунктам неотложной помощи, созданным в поликлиниках г. Астрахани. В настоящее время в городе организовано 16 пунктов неотложной помощи при 14 территориальных поликлиниках, вызовы от населения в неотложной форме, поступают на телефоны 103, 112 и передаются поликлиникам.</w:t>
      </w:r>
    </w:p>
    <w:p w:rsidR="00ED7F17" w:rsidRDefault="00ED7F17" w:rsidP="00ED7F17">
      <w:pPr>
        <w:ind w:firstLine="709"/>
        <w:jc w:val="both"/>
      </w:pPr>
      <w:bookmarkStart w:id="3" w:name="735e3"/>
      <w:bookmarkEnd w:id="3"/>
      <w:r>
        <w:rPr>
          <w:color w:val="000000"/>
          <w:highlight w:val="white"/>
        </w:rPr>
        <w:t>В соответствии с численностью обслуживаемого населения в диспетчерской, базирующейся на подстанции «Центральная», организовано 9 автоматизированных рабочих мест диспетчеров по приему и передаче вызовов. Все вызовы, прошедшие через диспетчерскую, отслеживаются через систему ГЛОНАСС. Также имеется рабочее место «Системы 112», на которое приходят информационные карточки УКИО, которые обрабатываются диспетчером по приему-передачи вызовов ГБУЗ АО «ЦМК и СМП».</w:t>
      </w:r>
    </w:p>
    <w:p w:rsidR="00ED7F17" w:rsidRDefault="00ED7F17" w:rsidP="00ED7F17">
      <w:pPr>
        <w:widowControl w:val="0"/>
        <w:tabs>
          <w:tab w:val="left" w:pos="862"/>
          <w:tab w:val="left" w:pos="1440"/>
        </w:tabs>
        <w:ind w:firstLine="709"/>
        <w:jc w:val="both"/>
        <w:textAlignment w:val="baseline"/>
      </w:pPr>
      <w:r>
        <w:rPr>
          <w:rFonts w:eastAsia="Andale Sans UI"/>
          <w:color w:val="auto"/>
          <w:kern w:val="2"/>
          <w:lang w:eastAsia="ja-JP" w:bidi="fa-IR"/>
        </w:rPr>
        <w:t xml:space="preserve">В настоящий момент завершается внедрение функциональной компоненты для работы СМП в составе региональной информационно-аналитической системы «ПроМед» (далее – ИС), которая отвечает всем требованиям к модулю учета СМП, определенными Минздравом России. ИС позволяет учитывать принятые вызовы СМП, а также назначение бригад и фиксацию результатов оказания СМП, а также позволяет учитывать случаи оказания СМП в электронных картах пациентов и предоставлять доступ к ЭМК для врачей скорой медицинской помощи, а также имеется связь со стационарными медицинскими организациями для своевременного информирования о транспортировке пациентов. Кроме того, система имеет в своем составе функциональные возможности для автоматического назначения принятых вызовов на бригады СМП в соответствии с их статусом и ближайшим местонахождением. Также ИС позволяет осуществлять диспетчеризацию всех вызовов скорой помощи, в том числе поступающих на подстанции СМП в </w:t>
      </w:r>
      <w:r>
        <w:rPr>
          <w:rFonts w:eastAsia="Andale Sans UI"/>
          <w:color w:val="000000"/>
          <w:kern w:val="2"/>
          <w:lang w:eastAsia="ja-JP" w:bidi="fa-IR"/>
        </w:rPr>
        <w:t>р</w:t>
      </w:r>
      <w:r>
        <w:rPr>
          <w:rFonts w:eastAsia="Andale Sans UI"/>
          <w:color w:val="auto"/>
          <w:kern w:val="2"/>
          <w:lang w:eastAsia="ja-JP" w:bidi="fa-IR"/>
        </w:rPr>
        <w:t>айонных больницах, объединяя все областные подстанции СМП в единое пространство. Система имеет в своем составе функциональный модуль, который может использоваться на планшетных компьютерах, которые бригады СМП могут использовать на вызовах и в режиме реального времени размещать информацию о результатах вызова в МИС, в том числе диагноз.</w:t>
      </w:r>
    </w:p>
    <w:p w:rsidR="00ED7F17" w:rsidRDefault="00ED7F17" w:rsidP="00ED7F17">
      <w:pPr>
        <w:ind w:firstLine="709"/>
        <w:jc w:val="both"/>
      </w:pPr>
      <w:r>
        <w:rPr>
          <w:rFonts w:eastAsia="Arial Unicode MS"/>
          <w:color w:val="000000"/>
          <w:highlight w:val="white"/>
        </w:rPr>
        <w:t>В 2018 году первое место среди внезапных заболеваний занимали вызовы к больным с патологией сердечно-сосудистой системы (</w:t>
      </w:r>
      <w:r>
        <w:rPr>
          <w:rFonts w:eastAsia="Arial Unicode MS"/>
          <w:highlight w:val="white"/>
        </w:rPr>
        <w:t xml:space="preserve">29,9%). За последние 3 года вызовы к больным сердечно-сосудистой патологией </w:t>
      </w:r>
      <w:r>
        <w:rPr>
          <w:rFonts w:eastAsia="Arial Unicode MS"/>
          <w:color w:val="000000"/>
          <w:highlight w:val="white"/>
        </w:rPr>
        <w:t>увеличились на 22%.</w:t>
      </w:r>
    </w:p>
    <w:p w:rsidR="00ED7F17" w:rsidRDefault="00ED7F17" w:rsidP="00ED7F17">
      <w:pPr>
        <w:ind w:firstLine="709"/>
        <w:jc w:val="both"/>
      </w:pPr>
      <w:r>
        <w:rPr>
          <w:rFonts w:eastAsia="Arial Unicode MS"/>
          <w:bCs/>
          <w:color w:val="000000"/>
          <w:highlight w:val="white"/>
        </w:rPr>
        <w:t>Все вызовы, поступившие в ГБУЗ АО «ЦМК и СМП» с признаками ОКС и ОНМК, имеют приоритетный выезд и первоочередную транспортировку с предварительным информированием принимающего стационара.</w:t>
      </w:r>
      <w:r>
        <w:rPr>
          <w:rFonts w:eastAsia="Arial Unicode MS"/>
          <w:bCs/>
          <w:color w:val="000000"/>
        </w:rPr>
        <w:t xml:space="preserve"> </w:t>
      </w:r>
      <w:r>
        <w:t>20-ти минутный доезд бригады СМП до больных с признаками ОКС и ОНМК составил 87,5%.</w:t>
      </w:r>
    </w:p>
    <w:p w:rsidR="00ED7F17" w:rsidRDefault="00ED7F17" w:rsidP="00ED7F17">
      <w:pPr>
        <w:ind w:firstLine="709"/>
        <w:jc w:val="both"/>
      </w:pPr>
      <w:r>
        <w:rPr>
          <w:rFonts w:eastAsia="Arial Unicode MS"/>
          <w:color w:val="000000"/>
        </w:rPr>
        <w:t xml:space="preserve">В 2018 году с диагнозом острый коронарный синдром (далее - ОКС) бригадами скорой медицинской помощи было обслужено 2252 человека (2017 - 2427 человек, 2016 -2272 человека), в т.ч. с острым инфарктом миокарда 674 пациента, из них 395 с подъемом сегмента </w:t>
      </w:r>
      <w:r>
        <w:rPr>
          <w:rFonts w:eastAsia="Arial Unicode MS"/>
          <w:color w:val="000000"/>
          <w:lang w:val="en-US"/>
        </w:rPr>
        <w:t>ST</w:t>
      </w:r>
      <w:r>
        <w:rPr>
          <w:rFonts w:eastAsia="Arial Unicode MS"/>
          <w:color w:val="000000"/>
        </w:rPr>
        <w:t xml:space="preserve"> (2017г.-659 человека (333 человека с подъемом сегмента </w:t>
      </w:r>
      <w:r>
        <w:rPr>
          <w:rFonts w:eastAsia="Arial Unicode MS"/>
          <w:color w:val="000000"/>
          <w:lang w:val="en-US"/>
        </w:rPr>
        <w:t>ST</w:t>
      </w:r>
      <w:r>
        <w:rPr>
          <w:rFonts w:eastAsia="Arial Unicode MS"/>
          <w:color w:val="000000"/>
        </w:rPr>
        <w:t xml:space="preserve">), в 2016г-795 человек (388 человек с подъемом сегмента </w:t>
      </w:r>
      <w:r>
        <w:rPr>
          <w:rFonts w:eastAsia="Arial Unicode MS"/>
          <w:color w:val="000000"/>
          <w:lang w:val="en-US"/>
        </w:rPr>
        <w:t>ST</w:t>
      </w:r>
      <w:r>
        <w:rPr>
          <w:rFonts w:eastAsia="Arial Unicode MS"/>
          <w:color w:val="000000"/>
        </w:rPr>
        <w:t>). Доставленных в стационары с ОКС в 2018-1758 человек (из них в РСЦ-501 человек, ПСО 1243 человека, ФЦССХ -14 человек), с ОНМК 2516 человек (из них в РСЦ-426 человек, ПСО-2019 человек).</w:t>
      </w:r>
    </w:p>
    <w:p w:rsidR="00ED7F17" w:rsidRDefault="00ED7F17" w:rsidP="00ED7F17">
      <w:pPr>
        <w:ind w:firstLine="709"/>
        <w:jc w:val="both"/>
      </w:pPr>
      <w:r>
        <w:rPr>
          <w:rFonts w:eastAsia="Arial Unicode MS"/>
          <w:color w:val="000000"/>
        </w:rPr>
        <w:t>За анализируемый период число госпитализированных больных, доставленных бригадой скорой медицинской помощи с ОКС, снизилось с 2018 человек (2016 г.) до 1758 человек (2018 г.), с ОНМК увеличилось с 2480 человек (2016 г.) до 2516 человек (2018 г.).</w:t>
      </w:r>
    </w:p>
    <w:p w:rsidR="00ED7F17" w:rsidRDefault="00ED7F17" w:rsidP="00ED7F17">
      <w:pPr>
        <w:ind w:firstLine="709"/>
        <w:jc w:val="both"/>
      </w:pPr>
      <w:r>
        <w:rPr>
          <w:rFonts w:eastAsia="Arial Unicode MS"/>
          <w:bCs/>
          <w:color w:val="000000"/>
        </w:rPr>
        <w:t xml:space="preserve">На догоспитальном этапе тромболитическая терапия (далее - ТЛТ) по показаниям проведена 19 больным или 4,8% от лиц с ОКС с подъемом сегмента </w:t>
      </w:r>
      <w:r>
        <w:rPr>
          <w:rFonts w:eastAsia="Arial Unicode MS"/>
          <w:bCs/>
          <w:color w:val="000000"/>
          <w:lang w:val="en-US"/>
        </w:rPr>
        <w:t>ST</w:t>
      </w:r>
      <w:r>
        <w:rPr>
          <w:rFonts w:eastAsia="Arial Unicode MS"/>
          <w:bCs/>
          <w:color w:val="000000"/>
        </w:rPr>
        <w:t xml:space="preserve"> (</w:t>
      </w:r>
      <w:r>
        <w:rPr>
          <w:rFonts w:eastAsia="Arial Unicode MS"/>
          <w:color w:val="000000"/>
        </w:rPr>
        <w:t>2017 – 29, 2016 – 20)</w:t>
      </w:r>
      <w:r>
        <w:rPr>
          <w:rFonts w:eastAsia="Arial Unicode MS"/>
          <w:bCs/>
          <w:color w:val="000000"/>
        </w:rPr>
        <w:t xml:space="preserve">. Остальные пациенты дали согласие на ЧКВ и были госпитализированы в сосудистые центры (РСЦ и ПСО, время доезда до которых из района обслуживания составило около 20 минут.) или имели противопоказания для осуществления ТЛТ. </w:t>
      </w:r>
    </w:p>
    <w:p w:rsidR="00ED7F17" w:rsidRDefault="00ED7F17" w:rsidP="00ED7F17">
      <w:pPr>
        <w:jc w:val="both"/>
      </w:pPr>
      <w:r>
        <w:rPr>
          <w:rFonts w:eastAsia="Arial Unicode MS"/>
          <w:bCs/>
          <w:color w:val="000000"/>
        </w:rPr>
        <w:t xml:space="preserve">За 4 месяца 2019 года с диагнозом ОКС бригадами скорой медицинской помощи обслужено 831 человек (4 мес.2018г. – 802 человека), из них с острым инфарктом миокарда 231 человека, в т.ч. 163 человека с подъемом сегмента ST (4 мес.2018г. – 240 человека и 132 человека соответственно). В сравнении с аналогичным периодом 2018 года произошло увеличение числа больных с ОКС на 29 человек, так же произошло увеличение больных с острым инфарктом миокарда с подъемом сегмента </w:t>
      </w:r>
      <w:r>
        <w:rPr>
          <w:rFonts w:eastAsia="Arial Unicode MS"/>
          <w:bCs/>
          <w:color w:val="000000"/>
          <w:lang w:val="en-US"/>
        </w:rPr>
        <w:t>ST</w:t>
      </w:r>
      <w:r>
        <w:rPr>
          <w:rFonts w:eastAsia="Arial Unicode MS"/>
          <w:bCs/>
          <w:color w:val="000000"/>
        </w:rPr>
        <w:t xml:space="preserve"> с 132 человек до 163 человек. </w:t>
      </w:r>
    </w:p>
    <w:p w:rsidR="00ED7F17" w:rsidRDefault="00ED7F17" w:rsidP="00ED7F17">
      <w:pPr>
        <w:ind w:firstLine="709"/>
        <w:jc w:val="both"/>
      </w:pPr>
      <w:r>
        <w:rPr>
          <w:rFonts w:eastAsia="Arial Unicode MS"/>
          <w:bCs/>
          <w:color w:val="000000"/>
        </w:rPr>
        <w:t xml:space="preserve">За 4 месяца 2019 года госпитализировано с ОКС – 639 человек (4 мес.2018г. – 621 человека): РСЦ – 212 человек (4 мес. 2018 –170 человек), ПСО – 426 человека (4 мес.2018 – 447человека), ФЦССХ – 1 человек (4 мес.2018 – 1человек).  </w:t>
      </w:r>
    </w:p>
    <w:p w:rsidR="00ED7F17" w:rsidRDefault="00ED7F17" w:rsidP="00ED7F17">
      <w:pPr>
        <w:ind w:firstLine="709"/>
        <w:jc w:val="both"/>
      </w:pPr>
      <w:r>
        <w:rPr>
          <w:rFonts w:eastAsia="Arial Unicode MS"/>
          <w:bCs/>
          <w:color w:val="000000"/>
        </w:rPr>
        <w:t>За 4 мес. 2019 года  диагноз ОНМК выставлен  1038 человек (4 мес.2018г. – 985 человек). Госпитализировано больных с  ОНМК – 897 человек (4 мес.2018г. – 837): РСЦ – 242 человека (4 мес.2018г. – 119 человека), ПСО – 657 человека (4 мес.2018г. – 522 человека). В сравнении с аналогичным периодом 2018 года произошло увеличение числа больных с ОНМК на 53 человека.</w:t>
      </w:r>
    </w:p>
    <w:p w:rsidR="00ED7F17" w:rsidRDefault="00ED7F17" w:rsidP="00ED7F17">
      <w:pPr>
        <w:ind w:firstLine="709"/>
        <w:jc w:val="both"/>
      </w:pPr>
      <w:r>
        <w:rPr>
          <w:rFonts w:eastAsia="Arial Unicode MS"/>
          <w:bCs/>
          <w:color w:val="000000"/>
        </w:rPr>
        <w:t xml:space="preserve">На догоспитальном этапе за 4 месяца 2019 года ТЛТ была показана 96 пациентам, по показаниям ТЛТ проведена 5 больным или 2,2% от числа лиц с ОКС с подъемом сегмента ST (4 мес.2018г. – 4 и 3,3%), 89 пациентов дали согласие на ЧКВ, 2 пациентов отказались от ТЛТ (отказ оформлен документально). </w:t>
      </w:r>
    </w:p>
    <w:p w:rsidR="00ED7F17" w:rsidRDefault="00ED7F17" w:rsidP="00ED7F17">
      <w:pPr>
        <w:ind w:firstLine="709"/>
        <w:jc w:val="both"/>
      </w:pPr>
      <w:r>
        <w:t>В</w:t>
      </w:r>
      <w:r>
        <w:rPr>
          <w:rFonts w:eastAsia="Arial Unicode MS"/>
          <w:bCs/>
          <w:color w:val="000000"/>
          <w:highlight w:val="white"/>
        </w:rPr>
        <w:t xml:space="preserve"> целях улучшения качества оказания медицинской помощи больным с сердечно-сосудистыми заболеваниями в ГБУЗ АО «ЦМК и СМП», при участии главного внештатного специалиста по скорой медицинской помощи проводится следующая работа:</w:t>
      </w:r>
    </w:p>
    <w:p w:rsidR="00ED7F17" w:rsidRDefault="00ED7F17" w:rsidP="00ED7F17">
      <w:pPr>
        <w:ind w:firstLine="709"/>
        <w:jc w:val="both"/>
      </w:pPr>
      <w:r>
        <w:rPr>
          <w:rFonts w:eastAsia="Arial Unicode MS"/>
          <w:bCs/>
          <w:color w:val="000000"/>
          <w:highlight w:val="white"/>
        </w:rPr>
        <w:t>- семинары и практические занятия по закреплению навыков расшифровки и интерпретации электрокардиологических данных для медицинского персонала (2 раза в год) и обучение вновь прибывших молодых специалистов, с последующей сдачей зачета;</w:t>
      </w:r>
    </w:p>
    <w:p w:rsidR="00ED7F17" w:rsidRDefault="00ED7F17" w:rsidP="00ED7F17">
      <w:pPr>
        <w:ind w:firstLine="709"/>
        <w:jc w:val="both"/>
      </w:pPr>
      <w:r>
        <w:rPr>
          <w:rFonts w:eastAsia="Arial Unicode MS"/>
          <w:bCs/>
          <w:color w:val="000000"/>
          <w:highlight w:val="white"/>
        </w:rPr>
        <w:t>- семинары по применению ТЛТ на госпитальном этапе для врачей и средних медицинских работников учреждения (2 раза в год);</w:t>
      </w:r>
    </w:p>
    <w:p w:rsidR="00ED7F17" w:rsidRDefault="00ED7F17" w:rsidP="00ED7F17">
      <w:pPr>
        <w:ind w:firstLine="709"/>
        <w:jc w:val="both"/>
      </w:pPr>
      <w:r>
        <w:rPr>
          <w:rFonts w:eastAsia="Arial Unicode MS"/>
          <w:bCs/>
          <w:color w:val="000000"/>
          <w:highlight w:val="white"/>
        </w:rPr>
        <w:t xml:space="preserve">- привлечение специалистов профильных медицинских организаций для проведения конференций, лекций, семинаров по оказанию медицинской помощи больным с сердечно-сосудистой патологией (в </w:t>
      </w:r>
      <w:r>
        <w:rPr>
          <w:rFonts w:eastAsia="Arial Unicode MS"/>
          <w:bCs/>
          <w:color w:val="000000"/>
          <w:highlight w:val="white"/>
          <w:lang w:val="en-US"/>
        </w:rPr>
        <w:t>I</w:t>
      </w:r>
      <w:r>
        <w:rPr>
          <w:rFonts w:eastAsia="Arial Unicode MS"/>
          <w:bCs/>
          <w:color w:val="000000"/>
          <w:highlight w:val="white"/>
        </w:rPr>
        <w:t xml:space="preserve"> квартале 2019 года проведены 2 лекции, на </w:t>
      </w:r>
      <w:r>
        <w:rPr>
          <w:rFonts w:eastAsia="Arial Unicode MS"/>
          <w:bCs/>
          <w:color w:val="000000"/>
          <w:highlight w:val="white"/>
          <w:lang w:val="en-US"/>
        </w:rPr>
        <w:t>II</w:t>
      </w:r>
      <w:r>
        <w:rPr>
          <w:rFonts w:eastAsia="Arial Unicode MS"/>
          <w:bCs/>
          <w:color w:val="000000"/>
          <w:highlight w:val="white"/>
        </w:rPr>
        <w:t xml:space="preserve">- </w:t>
      </w:r>
      <w:r>
        <w:rPr>
          <w:rFonts w:eastAsia="Arial Unicode MS"/>
          <w:bCs/>
          <w:color w:val="000000"/>
          <w:highlight w:val="white"/>
          <w:lang w:val="en-US"/>
        </w:rPr>
        <w:t>IV</w:t>
      </w:r>
      <w:r>
        <w:rPr>
          <w:rFonts w:eastAsia="Arial Unicode MS"/>
          <w:bCs/>
          <w:color w:val="000000"/>
          <w:highlight w:val="white"/>
        </w:rPr>
        <w:t xml:space="preserve"> квартал запланировано 4 лекции);</w:t>
      </w:r>
    </w:p>
    <w:p w:rsidR="00ED7F17" w:rsidRDefault="00ED7F17" w:rsidP="00ED7F17">
      <w:pPr>
        <w:ind w:firstLine="709"/>
        <w:jc w:val="both"/>
      </w:pPr>
      <w:r>
        <w:rPr>
          <w:rFonts w:eastAsia="Arial Unicode MS"/>
          <w:bCs/>
          <w:color w:val="000000"/>
          <w:highlight w:val="white"/>
        </w:rPr>
        <w:t>- усилен контроль за соблюдением стандартов и клинических рекомендаций и маршрутизации на всех этапах оказания медицинской помощи больным с сердечно-сосудистыми заболеваниями.</w:t>
      </w:r>
    </w:p>
    <w:p w:rsidR="00ED7F17" w:rsidRDefault="00ED7F17" w:rsidP="00ED7F17">
      <w:pPr>
        <w:ind w:firstLine="709"/>
        <w:jc w:val="both"/>
      </w:pPr>
      <w:r>
        <w:rPr>
          <w:rFonts w:eastAsia="Arial Unicode MS"/>
          <w:bCs/>
          <w:color w:val="000000"/>
          <w:highlight w:val="white"/>
        </w:rPr>
        <w:t xml:space="preserve">На базе ГБУЗ АО «ЦМК и СМП» имеется дистанционно-консультативный центр (ДКЦ) осуществляющий прямую связь с районами больницами в телефонном режиме и режиме телемедицины. </w:t>
      </w:r>
    </w:p>
    <w:p w:rsidR="00ED7F17" w:rsidRDefault="00ED7F17" w:rsidP="00ED7F17">
      <w:pPr>
        <w:ind w:firstLine="709"/>
        <w:jc w:val="both"/>
      </w:pPr>
      <w:r>
        <w:rPr>
          <w:rFonts w:eastAsia="Arial Unicode MS"/>
          <w:bCs/>
          <w:color w:val="000000"/>
          <w:highlight w:val="white"/>
        </w:rPr>
        <w:t>Специалистами ДКЦ (анестезиолог-реаниматолог, кардиолог, невролог, инфекционист, нейрохирург, педиатр, травматолог-ортопед, токсиколог, хирург, уролог, эндоскопист), осуществляется консультация районов области в режиме видеоконференции или, при необходимости, выезд на место для решения вопросов по тактике лечения и оказания экстренной помощи и эвакуации в учреждения города Астрахани, в том числе больных с ОКС и ОНМК.</w:t>
      </w:r>
    </w:p>
    <w:p w:rsidR="00ED7F17" w:rsidRDefault="00ED7F17" w:rsidP="00ED7F17">
      <w:pPr>
        <w:ind w:firstLine="709"/>
        <w:jc w:val="both"/>
      </w:pPr>
      <w:r>
        <w:rPr>
          <w:rFonts w:eastAsia="Arial Unicode MS"/>
          <w:bCs/>
          <w:color w:val="000000"/>
          <w:highlight w:val="white"/>
        </w:rPr>
        <w:t>Специалистами ДКЦ проводится ежедневный мониторинг состояния тяжелобольных с ОКС и ОНМК в районах области.</w:t>
      </w:r>
      <w:r>
        <w:rPr>
          <w:rFonts w:eastAsia="Arial Unicode MS"/>
          <w:bCs/>
          <w:color w:val="000000"/>
        </w:rPr>
        <w:t xml:space="preserve"> </w:t>
      </w:r>
      <w:r>
        <w:rPr>
          <w:rFonts w:eastAsia="Arial Unicode MS"/>
          <w:bCs/>
          <w:color w:val="000000"/>
          <w:highlight w:val="white"/>
        </w:rPr>
        <w:t>На базе ДКЦ осуществляется взаимодействие с медицинскими организациями Астраханской области, ГУ МЧС России по Астраханской области, оперативным штабом УФСБ по Астраханской области, ФГБУ АМП каспийского моря «Морской спасательно-координационный центр», ФКУ «Областная пожарно-спасательная служба», аварийно-спасательными формированиями других министерств и ведомств.</w:t>
      </w:r>
    </w:p>
    <w:p w:rsidR="00ED7F17" w:rsidRDefault="00ED7F17" w:rsidP="00ED7F17">
      <w:pPr>
        <w:ind w:firstLine="709"/>
        <w:jc w:val="both"/>
      </w:pPr>
      <w:r>
        <w:rPr>
          <w:highlight w:val="white"/>
        </w:rPr>
        <w:t>Для совершенствования организации оказания скорой медицинской помощи больным с сердечно-сосудистой патологией планируются и проводятся следующие мероприятия:</w:t>
      </w:r>
    </w:p>
    <w:p w:rsidR="00ED7F17" w:rsidRDefault="00ED7F17" w:rsidP="00ED7F17">
      <w:pPr>
        <w:ind w:firstLine="709"/>
        <w:jc w:val="both"/>
      </w:pPr>
      <w:r>
        <w:rPr>
          <w:iCs/>
          <w:color w:val="000000"/>
          <w:highlight w:val="white"/>
          <w:lang w:eastAsia="ar-SA"/>
        </w:rPr>
        <w:t>1.</w:t>
      </w:r>
      <w:r>
        <w:rPr>
          <w:color w:val="000000"/>
          <w:highlight w:val="white"/>
          <w:lang w:eastAsia="ar-SA"/>
        </w:rPr>
        <w:t xml:space="preserve"> Планируется организация единой диспетчерской службы в</w:t>
      </w:r>
      <w:r>
        <w:rPr>
          <w:iCs/>
          <w:color w:val="000000"/>
          <w:highlight w:val="white"/>
          <w:lang w:eastAsia="ar-SA"/>
        </w:rPr>
        <w:t xml:space="preserve"> Астраханской области</w:t>
      </w:r>
      <w:r>
        <w:rPr>
          <w:color w:val="000000"/>
          <w:highlight w:val="white"/>
          <w:lang w:eastAsia="ar-SA"/>
        </w:rPr>
        <w:t>, что позволит уже на этапе оказания скорой медицинской помощи вне медицинской организации выявлять пациентов с экстренными заболеваниями (состояниями), нуждающихся в медицинской эвакуации в медицинские организации 2-го и 3-го уровня</w:t>
      </w:r>
      <w:r>
        <w:rPr>
          <w:iCs/>
          <w:color w:val="000000"/>
          <w:highlight w:val="white"/>
          <w:lang w:eastAsia="ar-SA"/>
        </w:rPr>
        <w:t>, а также координация работы медицинских бригад в городе Астрахани и районах области.</w:t>
      </w:r>
    </w:p>
    <w:p w:rsidR="00ED7F17" w:rsidRDefault="00ED7F17" w:rsidP="00ED7F17">
      <w:pPr>
        <w:ind w:firstLine="709"/>
        <w:jc w:val="both"/>
      </w:pPr>
      <w:r>
        <w:rPr>
          <w:iCs/>
          <w:color w:val="000000"/>
          <w:highlight w:val="white"/>
          <w:lang w:eastAsia="ar-SA"/>
        </w:rPr>
        <w:t>Единая диспетчерская служба позволит выстроить оптимальные маршруты для каждого пациента, улучшить показатель 20-ти минутного доезда до пациента, что в свою очередь приведет к снижению смертности больных от заболеваний сердечно-сосудистой системы.</w:t>
      </w:r>
      <w:r>
        <w:rPr>
          <w:iCs/>
          <w:highlight w:val="white"/>
        </w:rPr>
        <w:t xml:space="preserve"> </w:t>
      </w:r>
    </w:p>
    <w:p w:rsidR="00ED7F17" w:rsidRDefault="00ED7F17" w:rsidP="00ED7F17">
      <w:pPr>
        <w:ind w:firstLine="709"/>
        <w:jc w:val="both"/>
      </w:pPr>
      <w:r>
        <w:rPr>
          <w:highlight w:val="white"/>
        </w:rPr>
        <w:t xml:space="preserve">На первом этапе организации единой диспетчерской СМП во </w:t>
      </w:r>
      <w:r>
        <w:rPr>
          <w:highlight w:val="white"/>
          <w:lang w:val="en-US"/>
        </w:rPr>
        <w:t>II</w:t>
      </w:r>
      <w:r>
        <w:rPr>
          <w:highlight w:val="white"/>
        </w:rPr>
        <w:t xml:space="preserve"> квартале 2019 года планируется подключение к централизованной системе (подсистеме) «Управление скорой медицинской помощи» отделения скорой медицинской помощи ГБУЗ АО «Приволжская районная больница». Таким образом будет достигнут целевой показатель «Число отделений (станций и подстанций) государственных и муниципальных медицинских организаций субъектов Российской Федерации», обеспечивающих оказание скорой и неотложной медицинской помощи, подключенных к централизованной системе (подсистеме) «Управления скорой и неотложной медицинской помощи» по Астраханской области в количестве 10 единиц (7 единиц — подстанции ГБУЗ АО «ЦМК и СМП» и 3 единицы —ГБУЗ АО «Приволжская районная больница).</w:t>
      </w:r>
    </w:p>
    <w:p w:rsidR="00ED7F17" w:rsidRDefault="00ED7F17" w:rsidP="00ED7F17">
      <w:pPr>
        <w:ind w:firstLine="709"/>
        <w:jc w:val="both"/>
      </w:pPr>
      <w:r>
        <w:rPr>
          <w:lang w:eastAsia="ja-JP" w:bidi="fa-IR"/>
        </w:rPr>
        <w:t>В 2019 с июня по август в систему ЕДС скорой медицинской помощи будут включены 25% бригад СМП области, в 2020 году оставшиеся 75% бригад СМП</w:t>
      </w:r>
    </w:p>
    <w:p w:rsidR="00ED7F17" w:rsidRDefault="00ED7F17" w:rsidP="00ED7F17">
      <w:pPr>
        <w:ind w:firstLine="709"/>
        <w:jc w:val="both"/>
      </w:pPr>
      <w:r>
        <w:rPr>
          <w:highlight w:val="white"/>
        </w:rPr>
        <w:t>2. Обеспечение фельдшерских бригад системами дистанционной расшифровки ЭКГ и внедрение автоматизированного рабочего места для удаленного консультирования (2020-2021 годы).</w:t>
      </w:r>
    </w:p>
    <w:p w:rsidR="00ED7F17" w:rsidRDefault="00ED7F17" w:rsidP="00ED7F17">
      <w:pPr>
        <w:ind w:firstLine="709"/>
        <w:jc w:val="both"/>
      </w:pPr>
      <w:r>
        <w:rPr>
          <w:highlight w:val="white"/>
        </w:rPr>
        <w:t xml:space="preserve">3. Достижение указанных в клинических рекомендациях показателей на догоспитальном этапе: интервал «Первый медицинский контакт и регистрация ЭКГ» не более 10 минут; интервал постановка диагноза ОКС с подъемом сегмента </w:t>
      </w:r>
      <w:r>
        <w:rPr>
          <w:highlight w:val="white"/>
          <w:lang w:val="en-US"/>
        </w:rPr>
        <w:t>ST</w:t>
      </w:r>
      <w:r>
        <w:rPr>
          <w:highlight w:val="white"/>
        </w:rPr>
        <w:t xml:space="preserve"> (регистрация и расшифровка ЭКГ) с последующей ТЛТ (по показаниям) не более 10 минут, доля ТЛТ на догоспитальном этапе при невозможности провести ЧКВ в течении 120 минут после постановке диагноза не менее 90% (2019-2020 годы).</w:t>
      </w:r>
    </w:p>
    <w:p w:rsidR="00ED7F17" w:rsidRDefault="00ED7F17" w:rsidP="00ED7F17">
      <w:pPr>
        <w:ind w:firstLine="709"/>
        <w:jc w:val="both"/>
      </w:pPr>
      <w:r>
        <w:rPr>
          <w:iCs/>
          <w:highlight w:val="white"/>
          <w:lang w:eastAsia="en-US"/>
        </w:rPr>
        <w:t xml:space="preserve">4. Разработка и утверждение алгоритма диспетчерского опроса, позволяющего на этапе приема вызова выявлять больных с ОКС, ОНМК, </w:t>
      </w:r>
      <w:r>
        <w:rPr>
          <w:highlight w:val="white"/>
        </w:rPr>
        <w:t>своевременное выявление больных с факторами риска, включая артериальную гипертонию</w:t>
      </w:r>
      <w:r>
        <w:rPr>
          <w:i/>
          <w:iCs/>
          <w:highlight w:val="white"/>
          <w:lang w:eastAsia="en-US"/>
        </w:rPr>
        <w:t xml:space="preserve"> </w:t>
      </w:r>
      <w:r>
        <w:rPr>
          <w:iCs/>
          <w:highlight w:val="white"/>
          <w:lang w:eastAsia="en-US"/>
        </w:rPr>
        <w:t>(</w:t>
      </w:r>
      <w:r>
        <w:rPr>
          <w:iCs/>
          <w:highlight w:val="white"/>
          <w:lang w:val="en-US" w:eastAsia="en-US"/>
        </w:rPr>
        <w:t>II</w:t>
      </w:r>
      <w:r>
        <w:rPr>
          <w:iCs/>
          <w:highlight w:val="white"/>
          <w:lang w:eastAsia="en-US"/>
        </w:rPr>
        <w:t xml:space="preserve"> квартал 2019г.)</w:t>
      </w:r>
      <w:r>
        <w:rPr>
          <w:i/>
          <w:iCs/>
          <w:highlight w:val="white"/>
          <w:lang w:eastAsia="en-US"/>
        </w:rPr>
        <w:t xml:space="preserve"> </w:t>
      </w:r>
    </w:p>
    <w:p w:rsidR="00ED7F17" w:rsidRDefault="00ED7F17" w:rsidP="00ED7F17">
      <w:pPr>
        <w:ind w:firstLine="709"/>
        <w:jc w:val="both"/>
      </w:pPr>
      <w:r>
        <w:rPr>
          <w:iCs/>
          <w:highlight w:val="white"/>
          <w:lang w:eastAsia="en-US"/>
        </w:rPr>
        <w:t xml:space="preserve">5. Постоянное </w:t>
      </w:r>
      <w:r>
        <w:rPr>
          <w:highlight w:val="white"/>
        </w:rPr>
        <w:t>повышение квалификации врачей и среднего медицинского персонала, участвующих в оказании медицинской помощи больным с сердечно-сосудистыми заболеваниями</w:t>
      </w:r>
      <w:r>
        <w:rPr>
          <w:iCs/>
          <w:highlight w:val="white"/>
          <w:lang w:eastAsia="en-US"/>
        </w:rPr>
        <w:t>;</w:t>
      </w:r>
    </w:p>
    <w:p w:rsidR="00ED7F17" w:rsidRDefault="00ED7F17" w:rsidP="00ED7F17">
      <w:pPr>
        <w:ind w:firstLine="709"/>
        <w:jc w:val="both"/>
      </w:pPr>
      <w:r>
        <w:rPr>
          <w:highlight w:val="white"/>
        </w:rPr>
        <w:t>6. Укрепление материально-технической базы учреждения, обновление санитарного автотранспорта.</w:t>
      </w:r>
    </w:p>
    <w:p w:rsidR="00ED7F17" w:rsidRDefault="00ED7F17" w:rsidP="00ED7F17">
      <w:pPr>
        <w:ind w:firstLine="709"/>
        <w:jc w:val="both"/>
      </w:pPr>
      <w:r>
        <w:rPr>
          <w:lang w:eastAsia="ar-SA"/>
        </w:rPr>
        <w:t>С целью оптимизации работы службы скорой помощи и улучшения качества оказания медицинской помощи планируется открытие отделения скорой медицинской помощи на базе ГБУЗ АО « Городская клиническая больница №3 им. С.М. Кирова» в 2023 году.</w:t>
      </w:r>
    </w:p>
    <w:p w:rsidR="00ED7F17" w:rsidRDefault="00ED7F17" w:rsidP="00ED7F17">
      <w:pPr>
        <w:ind w:firstLine="709"/>
        <w:jc w:val="both"/>
        <w:rPr>
          <w:lang w:eastAsia="ar-SA"/>
        </w:rPr>
      </w:pPr>
    </w:p>
    <w:p w:rsidR="00ED7F17" w:rsidRDefault="00ED7F17" w:rsidP="00ED7F17">
      <w:pPr>
        <w:pStyle w:val="a0"/>
        <w:spacing w:after="0" w:line="195" w:lineRule="atLeast"/>
        <w:contextualSpacing/>
        <w:jc w:val="center"/>
        <w:rPr>
          <w:rFonts w:ascii="Arial" w:eastAsia="Arial" w:hAnsi="Arial" w:cs="Arial"/>
          <w:sz w:val="22"/>
          <w:szCs w:val="22"/>
        </w:rPr>
      </w:pPr>
      <w:r>
        <w:rPr>
          <w:b/>
          <w:color w:val="000000"/>
        </w:rPr>
        <w:t xml:space="preserve">Развитие санитарной авиации </w:t>
      </w:r>
    </w:p>
    <w:p w:rsidR="00ED7F17" w:rsidRDefault="00ED7F17" w:rsidP="00ED7F17">
      <w:pPr>
        <w:pStyle w:val="a0"/>
        <w:spacing w:after="0" w:line="195" w:lineRule="atLeast"/>
        <w:ind w:firstLine="851"/>
        <w:contextualSpacing/>
        <w:jc w:val="both"/>
        <w:rPr>
          <w:b/>
          <w:color w:val="000000"/>
        </w:rPr>
      </w:pPr>
    </w:p>
    <w:p w:rsidR="00ED7F17" w:rsidRDefault="00ED7F17" w:rsidP="00ED7F17">
      <w:pPr>
        <w:pStyle w:val="a0"/>
        <w:spacing w:after="0" w:line="195" w:lineRule="atLeast"/>
        <w:ind w:firstLine="851"/>
        <w:contextualSpacing/>
        <w:jc w:val="both"/>
        <w:rPr>
          <w:rFonts w:ascii="Arial" w:hAnsi="Arial" w:cs="Arial"/>
          <w:sz w:val="22"/>
          <w:szCs w:val="22"/>
        </w:rPr>
      </w:pPr>
      <w:r>
        <w:rPr>
          <w:color w:val="000000"/>
        </w:rPr>
        <w:t>Согласно паспорту регионального проекта «Развитие системы первичной медико-санитарной помощи (Астраханская область)» создание службы санитарной авиации на территории Астраханской области рассчитана на период 2019-2024 годы. Стратегия развития санитарной авиации включает в себя следующие вопросы:</w:t>
      </w:r>
    </w:p>
    <w:p w:rsidR="00ED7F17" w:rsidRDefault="00ED7F17" w:rsidP="00ED7F17">
      <w:pPr>
        <w:pStyle w:val="a0"/>
        <w:spacing w:after="0" w:line="195" w:lineRule="atLeast"/>
        <w:ind w:firstLine="851"/>
        <w:contextualSpacing/>
        <w:jc w:val="both"/>
      </w:pPr>
      <w:r>
        <w:rPr>
          <w:color w:val="000000"/>
        </w:rPr>
        <w:t>- маршрутизация межбольничных медицинских эвакуаций в специализированные лечебные учреждения с целью оказания пострадавшим и тяжелым пациентам неотложной и специализированной, в том числе высокотехнологичной помощи;</w:t>
      </w:r>
    </w:p>
    <w:p w:rsidR="00ED7F17" w:rsidRDefault="00ED7F17" w:rsidP="00ED7F17">
      <w:pPr>
        <w:pStyle w:val="a0"/>
        <w:spacing w:after="0" w:line="195" w:lineRule="atLeast"/>
        <w:ind w:firstLine="851"/>
        <w:contextualSpacing/>
        <w:jc w:val="both"/>
      </w:pPr>
      <w:r>
        <w:rPr>
          <w:color w:val="000000"/>
        </w:rPr>
        <w:t>- создание наземной инфраструктуры (вертолетных площадок) с необходимыми светосигнальными системами и топливно-заправочными комплексами (по необходимости) при медицинских организациях Астраханской области для обеспечения использования санитарной авиации;</w:t>
      </w:r>
    </w:p>
    <w:p w:rsidR="00ED7F17" w:rsidRDefault="00ED7F17" w:rsidP="00ED7F17">
      <w:pPr>
        <w:pStyle w:val="a0"/>
        <w:spacing w:after="0" w:line="195" w:lineRule="atLeast"/>
        <w:ind w:firstLine="851"/>
        <w:contextualSpacing/>
        <w:jc w:val="both"/>
      </w:pPr>
      <w:r>
        <w:rPr>
          <w:color w:val="000000"/>
        </w:rPr>
        <w:t>- кадровое обеспечение (проведение дополнительной подготовки врачей и среднего медицинского персонала по вопросам санитарно-авиационной эвакуации);</w:t>
      </w:r>
    </w:p>
    <w:p w:rsidR="00ED7F17" w:rsidRDefault="00ED7F17" w:rsidP="00ED7F17">
      <w:pPr>
        <w:pStyle w:val="a0"/>
        <w:spacing w:after="0" w:line="195" w:lineRule="atLeast"/>
        <w:ind w:firstLine="851"/>
        <w:contextualSpacing/>
        <w:jc w:val="both"/>
      </w:pPr>
      <w:r>
        <w:rPr>
          <w:color w:val="000000"/>
        </w:rPr>
        <w:t>- финансовое обеспечение санитарной авиации на уровне Астраханской области;</w:t>
      </w:r>
    </w:p>
    <w:p w:rsidR="00ED7F17" w:rsidRDefault="00ED7F17" w:rsidP="00ED7F17">
      <w:pPr>
        <w:pStyle w:val="a0"/>
        <w:spacing w:after="0" w:line="195" w:lineRule="atLeast"/>
        <w:ind w:firstLine="851"/>
        <w:contextualSpacing/>
        <w:jc w:val="both"/>
      </w:pPr>
      <w:r>
        <w:rPr>
          <w:color w:val="000000"/>
        </w:rPr>
        <w:t>- создание единой системы диспетчеризации скорой медицинской помощи (осуществляется в рамках реализации федерального проекта «Создание единого цифрового контура в здравоохранении на основе единой государственной информационной системы здравоохранения (ЕГИСЗ)»).</w:t>
      </w:r>
    </w:p>
    <w:p w:rsidR="00ED7F17" w:rsidRDefault="00ED7F17" w:rsidP="00ED7F17">
      <w:pPr>
        <w:pStyle w:val="a0"/>
        <w:spacing w:after="0" w:line="195" w:lineRule="atLeast"/>
        <w:ind w:firstLine="680"/>
        <w:contextualSpacing/>
        <w:jc w:val="both"/>
      </w:pPr>
      <w:r>
        <w:rPr>
          <w:color w:val="000000"/>
        </w:rPr>
        <w:t>В соответствии с соглашением о реализации регионального проекта «Развитие системы первичной медико-санитарной помощи (Астраханская область)» на территории Астраханской области от 31.01.2019 № 056-2019-№10032-1 запланировано строительство крупных объектов. Для создания наземной инфраструктуры возможно использование площадки ОАО «Аэропорт Астрахань», которая соответствует классу «В» (длина взлетно-посадочной полосы 2500 м, тип покрытия — железобетон). Аэропорт оснащен радионавигационным оборудованием, способен принимать все типы самолетов и вертолетов, кроме ИЛ-62, имеет статус международного.</w:t>
      </w:r>
    </w:p>
    <w:p w:rsidR="00ED7F17" w:rsidRDefault="00ED7F17" w:rsidP="00ED7F17">
      <w:pPr>
        <w:pStyle w:val="a0"/>
        <w:spacing w:after="0" w:line="195" w:lineRule="atLeast"/>
        <w:ind w:firstLine="624"/>
        <w:contextualSpacing/>
        <w:jc w:val="both"/>
      </w:pPr>
      <w:r>
        <w:rPr>
          <w:color w:val="000000"/>
        </w:rPr>
        <w:t>Регулярное и систематическое использование санитарной авиации (до 150-200 вылетов в год или 300-400 летных часа) на территории Астраханской области планируется в следующих объемах:</w:t>
      </w:r>
    </w:p>
    <w:p w:rsidR="00ED7F17" w:rsidRDefault="00ED7F17" w:rsidP="00ED7F17">
      <w:pPr>
        <w:pStyle w:val="a0"/>
        <w:spacing w:after="0" w:line="238" w:lineRule="atLeast"/>
        <w:ind w:firstLine="709"/>
        <w:contextualSpacing/>
      </w:pPr>
      <w:r>
        <w:rPr>
          <w:color w:val="000000"/>
        </w:rPr>
        <w:t>В 2019 году - подготовительные работы</w:t>
      </w:r>
    </w:p>
    <w:p w:rsidR="00ED7F17" w:rsidRDefault="00ED7F17" w:rsidP="00ED7F17">
      <w:pPr>
        <w:pStyle w:val="a0"/>
        <w:spacing w:after="0" w:line="238" w:lineRule="atLeast"/>
        <w:ind w:firstLine="709"/>
        <w:contextualSpacing/>
      </w:pPr>
      <w:r>
        <w:rPr>
          <w:color w:val="000000"/>
        </w:rPr>
        <w:t>В 2020 году -</w:t>
      </w:r>
      <w:r>
        <w:rPr>
          <w:color w:val="000000"/>
          <w:highlight w:val="white"/>
        </w:rPr>
        <w:t xml:space="preserve"> 80 вылетов год</w:t>
      </w:r>
    </w:p>
    <w:p w:rsidR="00ED7F17" w:rsidRDefault="00ED7F17" w:rsidP="00ED7F17">
      <w:pPr>
        <w:pStyle w:val="a0"/>
        <w:spacing w:after="0" w:line="238" w:lineRule="atLeast"/>
        <w:ind w:firstLine="709"/>
        <w:contextualSpacing/>
      </w:pPr>
      <w:r>
        <w:rPr>
          <w:color w:val="000000"/>
          <w:highlight w:val="white"/>
        </w:rPr>
        <w:t>В 2021 году - 120 вылетов в год</w:t>
      </w:r>
    </w:p>
    <w:p w:rsidR="00ED7F17" w:rsidRDefault="00ED7F17" w:rsidP="00ED7F17">
      <w:pPr>
        <w:pStyle w:val="a0"/>
        <w:spacing w:after="0" w:line="238" w:lineRule="atLeast"/>
        <w:ind w:firstLine="709"/>
        <w:contextualSpacing/>
      </w:pPr>
      <w:r>
        <w:rPr>
          <w:color w:val="000000"/>
          <w:highlight w:val="white"/>
        </w:rPr>
        <w:t>В 2022 году - 150 вылетов в год</w:t>
      </w:r>
    </w:p>
    <w:p w:rsidR="00ED7F17" w:rsidRDefault="00ED7F17" w:rsidP="00ED7F17">
      <w:pPr>
        <w:pStyle w:val="a0"/>
        <w:spacing w:after="0" w:line="238" w:lineRule="atLeast"/>
        <w:ind w:firstLine="709"/>
        <w:contextualSpacing/>
      </w:pPr>
      <w:r>
        <w:rPr>
          <w:color w:val="000000"/>
          <w:highlight w:val="white"/>
        </w:rPr>
        <w:t>В 2023 году - 180 вылетов в год</w:t>
      </w:r>
    </w:p>
    <w:p w:rsidR="00ED7F17" w:rsidRDefault="00ED7F17" w:rsidP="00ED7F17">
      <w:pPr>
        <w:pStyle w:val="a0"/>
        <w:spacing w:after="0" w:line="195" w:lineRule="atLeast"/>
        <w:ind w:firstLine="709"/>
        <w:contextualSpacing/>
        <w:jc w:val="both"/>
      </w:pPr>
      <w:r>
        <w:rPr>
          <w:color w:val="000000"/>
          <w:highlight w:val="white"/>
        </w:rPr>
        <w:t>В 2024 году - 200 вылетов в год</w:t>
      </w:r>
    </w:p>
    <w:p w:rsidR="00ED7F17" w:rsidRDefault="00ED7F17" w:rsidP="00ED7F17">
      <w:pPr>
        <w:pStyle w:val="a0"/>
        <w:spacing w:after="0" w:line="195" w:lineRule="atLeast"/>
        <w:ind w:firstLine="624"/>
        <w:contextualSpacing/>
        <w:jc w:val="both"/>
      </w:pPr>
      <w:r>
        <w:rPr>
          <w:color w:val="000000"/>
          <w:highlight w:val="white"/>
        </w:rPr>
        <w:t>В соответствии с письмом МЗ РФ межбюджетные трансферты распределены для обеспечения закупки авиационных работ органами государственной власти Астраханской области в целях оказания медицинской помощи (субсидия из Федерального бюджета) 2019 - 0,0 рублей, 2020-21 139,1 тыс. рублей, 2021-  29 988,5 тыс. рублей. Средства бюджета Астраханской области 2020 год - 653,80 тыс. рублей, 2021 - 927,800 тыс. рублей.</w:t>
      </w:r>
    </w:p>
    <w:p w:rsidR="00ED7F17" w:rsidRDefault="00ED7F17" w:rsidP="00ED7F17">
      <w:pPr>
        <w:ind w:firstLine="709"/>
        <w:jc w:val="both"/>
      </w:pPr>
    </w:p>
    <w:p w:rsidR="00ED7F17" w:rsidRDefault="00ED7F17" w:rsidP="00ED7F17">
      <w:pPr>
        <w:pStyle w:val="17"/>
        <w:numPr>
          <w:ilvl w:val="0"/>
          <w:numId w:val="6"/>
        </w:numPr>
        <w:spacing w:after="0" w:line="240" w:lineRule="auto"/>
        <w:jc w:val="both"/>
        <w:rPr>
          <w:rFonts w:ascii="Times New Roman" w:hAnsi="Times New Roman" w:cs="Times New Roman"/>
        </w:rPr>
      </w:pPr>
    </w:p>
    <w:p w:rsidR="00ED7F17" w:rsidRDefault="00ED7F17" w:rsidP="00ED7F17">
      <w:pPr>
        <w:pStyle w:val="17"/>
        <w:numPr>
          <w:ilvl w:val="0"/>
          <w:numId w:val="6"/>
        </w:numPr>
        <w:spacing w:after="0" w:line="240" w:lineRule="auto"/>
        <w:jc w:val="center"/>
      </w:pPr>
      <w:r>
        <w:rPr>
          <w:rFonts w:ascii="Times New Roman" w:hAnsi="Times New Roman" w:cs="Times New Roman"/>
          <w:b/>
        </w:rPr>
        <w:t>Высокотехнологичная медицинская помощь пациентам с БСК</w:t>
      </w:r>
    </w:p>
    <w:p w:rsidR="00ED7F17" w:rsidRDefault="00ED7F17" w:rsidP="00ED7F17">
      <w:pPr>
        <w:pStyle w:val="17"/>
        <w:numPr>
          <w:ilvl w:val="0"/>
          <w:numId w:val="6"/>
        </w:numPr>
        <w:spacing w:after="0" w:line="240" w:lineRule="auto"/>
        <w:ind w:firstLine="709"/>
        <w:jc w:val="both"/>
        <w:rPr>
          <w:b/>
        </w:rPr>
      </w:pPr>
    </w:p>
    <w:p w:rsidR="00ED7F17" w:rsidRDefault="00ED7F17" w:rsidP="00ED7F17">
      <w:pPr>
        <w:pStyle w:val="17"/>
        <w:numPr>
          <w:ilvl w:val="0"/>
          <w:numId w:val="6"/>
        </w:numPr>
        <w:spacing w:after="0" w:line="240" w:lineRule="auto"/>
        <w:ind w:firstLine="709"/>
        <w:jc w:val="both"/>
      </w:pPr>
      <w:r>
        <w:rPr>
          <w:rFonts w:ascii="Times New Roman" w:hAnsi="Times New Roman" w:cs="Times New Roman"/>
        </w:rPr>
        <w:t>Высокотехнологичная помощь пациентам с БСК на территории Астраханской области оказывается ФГБУ «ФЦССХ» Минздрава России (г. Астрахань). В 2018 году проведено высокотехнологичных операций по профилю «сердечно-сосудистой хирургия» 1499.</w:t>
      </w:r>
    </w:p>
    <w:p w:rsidR="00ED7F17" w:rsidRDefault="00ED7F17" w:rsidP="00ED7F17">
      <w:pPr>
        <w:pStyle w:val="17"/>
        <w:numPr>
          <w:ilvl w:val="0"/>
          <w:numId w:val="6"/>
        </w:numPr>
        <w:spacing w:after="0" w:line="240" w:lineRule="auto"/>
        <w:ind w:firstLine="709"/>
        <w:jc w:val="both"/>
      </w:pPr>
    </w:p>
    <w:p w:rsidR="00ED7F17" w:rsidRDefault="00ED7F17" w:rsidP="00ED7F17">
      <w:pPr>
        <w:numPr>
          <w:ilvl w:val="0"/>
          <w:numId w:val="6"/>
        </w:numPr>
        <w:overflowPunct/>
        <w:spacing w:line="276" w:lineRule="auto"/>
        <w:jc w:val="center"/>
      </w:pPr>
      <w:r>
        <w:rPr>
          <w:b/>
        </w:rPr>
        <w:t>Структура проведенных операций в ФЦ ССХ по нозологическим формам</w:t>
      </w:r>
    </w:p>
    <w:tbl>
      <w:tblPr>
        <w:tblW w:w="0" w:type="auto"/>
        <w:tblInd w:w="-15" w:type="dxa"/>
        <w:tblLayout w:type="fixed"/>
        <w:tblCellMar>
          <w:left w:w="113" w:type="dxa"/>
        </w:tblCellMar>
        <w:tblLook w:val="04A0" w:firstRow="1" w:lastRow="0" w:firstColumn="1" w:lastColumn="0" w:noHBand="0" w:noVBand="1"/>
      </w:tblPr>
      <w:tblGrid>
        <w:gridCol w:w="5294"/>
        <w:gridCol w:w="2084"/>
        <w:gridCol w:w="1124"/>
        <w:gridCol w:w="1387"/>
      </w:tblGrid>
      <w:tr w:rsidR="00ED7F17" w:rsidTr="00ED7F17">
        <w:tc>
          <w:tcPr>
            <w:tcW w:w="5294" w:type="dxa"/>
            <w:tcBorders>
              <w:top w:val="single" w:sz="4" w:space="0" w:color="00000A"/>
              <w:left w:val="single" w:sz="4" w:space="0" w:color="00000A"/>
              <w:bottom w:val="single" w:sz="4" w:space="0" w:color="00000A"/>
              <w:right w:val="nil"/>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Нозологическая форма</w:t>
            </w:r>
          </w:p>
        </w:tc>
        <w:tc>
          <w:tcPr>
            <w:tcW w:w="2084" w:type="dxa"/>
            <w:tcBorders>
              <w:top w:val="single" w:sz="4" w:space="0" w:color="00000A"/>
              <w:left w:val="single" w:sz="4" w:space="0" w:color="00000A"/>
              <w:bottom w:val="single" w:sz="4" w:space="0" w:color="00000A"/>
              <w:right w:val="nil"/>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 xml:space="preserve"> 2018г.</w:t>
            </w:r>
          </w:p>
        </w:tc>
        <w:tc>
          <w:tcPr>
            <w:tcW w:w="1124" w:type="dxa"/>
            <w:tcBorders>
              <w:top w:val="single" w:sz="4" w:space="0" w:color="00000A"/>
              <w:left w:val="single" w:sz="4" w:space="0" w:color="00000A"/>
              <w:bottom w:val="single" w:sz="4" w:space="0" w:color="00000A"/>
              <w:right w:val="nil"/>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 xml:space="preserve"> 2017г.</w:t>
            </w:r>
          </w:p>
        </w:tc>
        <w:tc>
          <w:tcPr>
            <w:tcW w:w="1387" w:type="dxa"/>
            <w:tcBorders>
              <w:top w:val="single" w:sz="4" w:space="0" w:color="00000A"/>
              <w:left w:val="single" w:sz="4" w:space="0" w:color="00000A"/>
              <w:bottom w:val="single" w:sz="4" w:space="0" w:color="00000A"/>
              <w:right w:val="single" w:sz="4" w:space="0" w:color="00000A"/>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2016г.</w:t>
            </w:r>
          </w:p>
        </w:tc>
      </w:tr>
      <w:tr w:rsidR="00ED7F17" w:rsidTr="00ED7F17">
        <w:tc>
          <w:tcPr>
            <w:tcW w:w="5294" w:type="dxa"/>
            <w:tcBorders>
              <w:top w:val="single" w:sz="4" w:space="0" w:color="00000A"/>
              <w:left w:val="single" w:sz="4" w:space="0" w:color="00000A"/>
              <w:bottom w:val="single" w:sz="4" w:space="0" w:color="00000A"/>
              <w:right w:val="nil"/>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Хронические ревматические болезни сердца</w:t>
            </w:r>
          </w:p>
        </w:tc>
        <w:tc>
          <w:tcPr>
            <w:tcW w:w="2084" w:type="dxa"/>
            <w:tcBorders>
              <w:top w:val="single" w:sz="4" w:space="0" w:color="00000A"/>
              <w:left w:val="single" w:sz="4" w:space="0" w:color="00000A"/>
              <w:bottom w:val="single" w:sz="4" w:space="0" w:color="00000A"/>
              <w:right w:val="nil"/>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19</w:t>
            </w:r>
          </w:p>
        </w:tc>
        <w:tc>
          <w:tcPr>
            <w:tcW w:w="1124" w:type="dxa"/>
            <w:tcBorders>
              <w:top w:val="single" w:sz="4" w:space="0" w:color="00000A"/>
              <w:left w:val="single" w:sz="4" w:space="0" w:color="00000A"/>
              <w:bottom w:val="single" w:sz="4" w:space="0" w:color="00000A"/>
              <w:right w:val="nil"/>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27</w:t>
            </w:r>
          </w:p>
        </w:tc>
        <w:tc>
          <w:tcPr>
            <w:tcW w:w="1387" w:type="dxa"/>
            <w:tcBorders>
              <w:top w:val="single" w:sz="4" w:space="0" w:color="00000A"/>
              <w:left w:val="single" w:sz="4" w:space="0" w:color="00000A"/>
              <w:bottom w:val="single" w:sz="4" w:space="0" w:color="00000A"/>
              <w:right w:val="single" w:sz="4" w:space="0" w:color="00000A"/>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21</w:t>
            </w:r>
          </w:p>
        </w:tc>
      </w:tr>
      <w:tr w:rsidR="00ED7F17" w:rsidTr="00ED7F17">
        <w:tc>
          <w:tcPr>
            <w:tcW w:w="5294" w:type="dxa"/>
            <w:tcBorders>
              <w:top w:val="single" w:sz="4" w:space="0" w:color="00000A"/>
              <w:left w:val="single" w:sz="4" w:space="0" w:color="00000A"/>
              <w:bottom w:val="single" w:sz="4" w:space="0" w:color="00000A"/>
              <w:right w:val="nil"/>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Ишемическая болезнь сердца</w:t>
            </w:r>
          </w:p>
        </w:tc>
        <w:tc>
          <w:tcPr>
            <w:tcW w:w="2084" w:type="dxa"/>
            <w:tcBorders>
              <w:top w:val="single" w:sz="4" w:space="0" w:color="00000A"/>
              <w:left w:val="single" w:sz="4" w:space="0" w:color="00000A"/>
              <w:bottom w:val="single" w:sz="4" w:space="0" w:color="00000A"/>
              <w:right w:val="nil"/>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1056</w:t>
            </w:r>
          </w:p>
        </w:tc>
        <w:tc>
          <w:tcPr>
            <w:tcW w:w="1124" w:type="dxa"/>
            <w:tcBorders>
              <w:top w:val="single" w:sz="4" w:space="0" w:color="00000A"/>
              <w:left w:val="single" w:sz="4" w:space="0" w:color="00000A"/>
              <w:bottom w:val="single" w:sz="4" w:space="0" w:color="00000A"/>
              <w:right w:val="nil"/>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877</w:t>
            </w:r>
          </w:p>
        </w:tc>
        <w:tc>
          <w:tcPr>
            <w:tcW w:w="1387" w:type="dxa"/>
            <w:tcBorders>
              <w:top w:val="single" w:sz="4" w:space="0" w:color="00000A"/>
              <w:left w:val="single" w:sz="4" w:space="0" w:color="00000A"/>
              <w:bottom w:val="single" w:sz="4" w:space="0" w:color="00000A"/>
              <w:right w:val="single" w:sz="4" w:space="0" w:color="00000A"/>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1052</w:t>
            </w:r>
          </w:p>
        </w:tc>
      </w:tr>
      <w:tr w:rsidR="00ED7F17" w:rsidTr="00ED7F17">
        <w:tc>
          <w:tcPr>
            <w:tcW w:w="5294" w:type="dxa"/>
            <w:tcBorders>
              <w:top w:val="single" w:sz="4" w:space="0" w:color="00000A"/>
              <w:left w:val="single" w:sz="4" w:space="0" w:color="00000A"/>
              <w:bottom w:val="single" w:sz="4" w:space="0" w:color="00000A"/>
              <w:right w:val="nil"/>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в том числе: ИБС стенокардия</w:t>
            </w:r>
          </w:p>
        </w:tc>
        <w:tc>
          <w:tcPr>
            <w:tcW w:w="2084" w:type="dxa"/>
            <w:tcBorders>
              <w:top w:val="single" w:sz="4" w:space="0" w:color="00000A"/>
              <w:left w:val="single" w:sz="4" w:space="0" w:color="00000A"/>
              <w:bottom w:val="single" w:sz="4" w:space="0" w:color="00000A"/>
              <w:right w:val="nil"/>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609</w:t>
            </w:r>
          </w:p>
        </w:tc>
        <w:tc>
          <w:tcPr>
            <w:tcW w:w="1124" w:type="dxa"/>
            <w:tcBorders>
              <w:top w:val="single" w:sz="4" w:space="0" w:color="00000A"/>
              <w:left w:val="single" w:sz="4" w:space="0" w:color="00000A"/>
              <w:bottom w:val="single" w:sz="4" w:space="0" w:color="00000A"/>
              <w:right w:val="nil"/>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579</w:t>
            </w:r>
          </w:p>
        </w:tc>
        <w:tc>
          <w:tcPr>
            <w:tcW w:w="1387" w:type="dxa"/>
            <w:tcBorders>
              <w:top w:val="single" w:sz="4" w:space="0" w:color="00000A"/>
              <w:left w:val="single" w:sz="4" w:space="0" w:color="00000A"/>
              <w:bottom w:val="single" w:sz="4" w:space="0" w:color="00000A"/>
              <w:right w:val="single" w:sz="4" w:space="0" w:color="00000A"/>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820</w:t>
            </w:r>
          </w:p>
        </w:tc>
      </w:tr>
      <w:tr w:rsidR="00ED7F17" w:rsidTr="00ED7F17">
        <w:tc>
          <w:tcPr>
            <w:tcW w:w="5294" w:type="dxa"/>
            <w:tcBorders>
              <w:top w:val="single" w:sz="4" w:space="0" w:color="00000A"/>
              <w:left w:val="single" w:sz="4" w:space="0" w:color="00000A"/>
              <w:bottom w:val="single" w:sz="4" w:space="0" w:color="00000A"/>
              <w:right w:val="nil"/>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Хроническая ишемическая болезнь сердца</w:t>
            </w:r>
          </w:p>
        </w:tc>
        <w:tc>
          <w:tcPr>
            <w:tcW w:w="2084" w:type="dxa"/>
            <w:tcBorders>
              <w:top w:val="single" w:sz="4" w:space="0" w:color="00000A"/>
              <w:left w:val="single" w:sz="4" w:space="0" w:color="00000A"/>
              <w:bottom w:val="single" w:sz="4" w:space="0" w:color="00000A"/>
              <w:right w:val="nil"/>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243</w:t>
            </w:r>
          </w:p>
        </w:tc>
        <w:tc>
          <w:tcPr>
            <w:tcW w:w="1124" w:type="dxa"/>
            <w:tcBorders>
              <w:top w:val="single" w:sz="4" w:space="0" w:color="00000A"/>
              <w:left w:val="single" w:sz="4" w:space="0" w:color="00000A"/>
              <w:bottom w:val="single" w:sz="4" w:space="0" w:color="00000A"/>
              <w:right w:val="nil"/>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290</w:t>
            </w:r>
          </w:p>
        </w:tc>
        <w:tc>
          <w:tcPr>
            <w:tcW w:w="1387" w:type="dxa"/>
            <w:tcBorders>
              <w:top w:val="single" w:sz="4" w:space="0" w:color="00000A"/>
              <w:left w:val="single" w:sz="4" w:space="0" w:color="00000A"/>
              <w:bottom w:val="single" w:sz="4" w:space="0" w:color="00000A"/>
              <w:right w:val="single" w:sz="4" w:space="0" w:color="00000A"/>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210</w:t>
            </w:r>
          </w:p>
        </w:tc>
      </w:tr>
      <w:tr w:rsidR="00ED7F17" w:rsidTr="00ED7F17">
        <w:tc>
          <w:tcPr>
            <w:tcW w:w="5294" w:type="dxa"/>
            <w:tcBorders>
              <w:top w:val="single" w:sz="4" w:space="0" w:color="00000A"/>
              <w:left w:val="single" w:sz="4" w:space="0" w:color="00000A"/>
              <w:bottom w:val="single" w:sz="4" w:space="0" w:color="00000A"/>
              <w:right w:val="nil"/>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Другие болезни сердца (пороки)</w:t>
            </w:r>
          </w:p>
        </w:tc>
        <w:tc>
          <w:tcPr>
            <w:tcW w:w="2084" w:type="dxa"/>
            <w:tcBorders>
              <w:top w:val="single" w:sz="4" w:space="0" w:color="00000A"/>
              <w:left w:val="single" w:sz="4" w:space="0" w:color="00000A"/>
              <w:bottom w:val="single" w:sz="4" w:space="0" w:color="00000A"/>
              <w:right w:val="nil"/>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63</w:t>
            </w:r>
          </w:p>
        </w:tc>
        <w:tc>
          <w:tcPr>
            <w:tcW w:w="1124" w:type="dxa"/>
            <w:tcBorders>
              <w:top w:val="single" w:sz="4" w:space="0" w:color="00000A"/>
              <w:left w:val="single" w:sz="4" w:space="0" w:color="00000A"/>
              <w:bottom w:val="single" w:sz="4" w:space="0" w:color="00000A"/>
              <w:right w:val="nil"/>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64</w:t>
            </w:r>
          </w:p>
        </w:tc>
        <w:tc>
          <w:tcPr>
            <w:tcW w:w="1387" w:type="dxa"/>
            <w:tcBorders>
              <w:top w:val="single" w:sz="4" w:space="0" w:color="00000A"/>
              <w:left w:val="single" w:sz="4" w:space="0" w:color="00000A"/>
              <w:bottom w:val="single" w:sz="4" w:space="0" w:color="00000A"/>
              <w:right w:val="single" w:sz="4" w:space="0" w:color="00000A"/>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52</w:t>
            </w:r>
          </w:p>
        </w:tc>
      </w:tr>
      <w:tr w:rsidR="00ED7F17" w:rsidTr="00ED7F17">
        <w:tc>
          <w:tcPr>
            <w:tcW w:w="5294" w:type="dxa"/>
            <w:tcBorders>
              <w:top w:val="single" w:sz="4" w:space="0" w:color="00000A"/>
              <w:left w:val="single" w:sz="4" w:space="0" w:color="00000A"/>
              <w:bottom w:val="single" w:sz="4" w:space="0" w:color="00000A"/>
              <w:right w:val="nil"/>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Кардиомиопатия</w:t>
            </w:r>
          </w:p>
        </w:tc>
        <w:tc>
          <w:tcPr>
            <w:tcW w:w="2084" w:type="dxa"/>
            <w:tcBorders>
              <w:top w:val="single" w:sz="4" w:space="0" w:color="00000A"/>
              <w:left w:val="single" w:sz="4" w:space="0" w:color="00000A"/>
              <w:bottom w:val="single" w:sz="4" w:space="0" w:color="00000A"/>
              <w:right w:val="nil"/>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7</w:t>
            </w:r>
          </w:p>
        </w:tc>
        <w:tc>
          <w:tcPr>
            <w:tcW w:w="1124" w:type="dxa"/>
            <w:tcBorders>
              <w:top w:val="single" w:sz="4" w:space="0" w:color="00000A"/>
              <w:left w:val="single" w:sz="4" w:space="0" w:color="00000A"/>
              <w:bottom w:val="single" w:sz="4" w:space="0" w:color="00000A"/>
              <w:right w:val="nil"/>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5</w:t>
            </w:r>
          </w:p>
        </w:tc>
        <w:tc>
          <w:tcPr>
            <w:tcW w:w="1387" w:type="dxa"/>
            <w:tcBorders>
              <w:top w:val="single" w:sz="4" w:space="0" w:color="00000A"/>
              <w:left w:val="single" w:sz="4" w:space="0" w:color="00000A"/>
              <w:bottom w:val="single" w:sz="4" w:space="0" w:color="00000A"/>
              <w:right w:val="single" w:sz="4" w:space="0" w:color="00000A"/>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1</w:t>
            </w:r>
          </w:p>
        </w:tc>
      </w:tr>
      <w:tr w:rsidR="00ED7F17" w:rsidTr="00ED7F17">
        <w:tc>
          <w:tcPr>
            <w:tcW w:w="5294" w:type="dxa"/>
            <w:tcBorders>
              <w:top w:val="single" w:sz="4" w:space="0" w:color="00000A"/>
              <w:left w:val="single" w:sz="4" w:space="0" w:color="00000A"/>
              <w:bottom w:val="single" w:sz="4" w:space="0" w:color="00000A"/>
              <w:right w:val="nil"/>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Блокады и нарушения проводимости</w:t>
            </w:r>
          </w:p>
        </w:tc>
        <w:tc>
          <w:tcPr>
            <w:tcW w:w="2084" w:type="dxa"/>
            <w:tcBorders>
              <w:top w:val="single" w:sz="4" w:space="0" w:color="00000A"/>
              <w:left w:val="single" w:sz="4" w:space="0" w:color="00000A"/>
              <w:bottom w:val="single" w:sz="4" w:space="0" w:color="00000A"/>
              <w:right w:val="nil"/>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14</w:t>
            </w:r>
          </w:p>
        </w:tc>
        <w:tc>
          <w:tcPr>
            <w:tcW w:w="1124" w:type="dxa"/>
            <w:tcBorders>
              <w:top w:val="single" w:sz="4" w:space="0" w:color="00000A"/>
              <w:left w:val="single" w:sz="4" w:space="0" w:color="00000A"/>
              <w:bottom w:val="single" w:sz="4" w:space="0" w:color="00000A"/>
              <w:right w:val="nil"/>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15</w:t>
            </w:r>
          </w:p>
        </w:tc>
        <w:tc>
          <w:tcPr>
            <w:tcW w:w="1387" w:type="dxa"/>
            <w:tcBorders>
              <w:top w:val="single" w:sz="4" w:space="0" w:color="00000A"/>
              <w:left w:val="single" w:sz="4" w:space="0" w:color="00000A"/>
              <w:bottom w:val="single" w:sz="4" w:space="0" w:color="00000A"/>
              <w:right w:val="single" w:sz="4" w:space="0" w:color="00000A"/>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85</w:t>
            </w:r>
          </w:p>
        </w:tc>
      </w:tr>
      <w:tr w:rsidR="00ED7F17" w:rsidTr="00ED7F17">
        <w:tc>
          <w:tcPr>
            <w:tcW w:w="5294" w:type="dxa"/>
            <w:tcBorders>
              <w:top w:val="single" w:sz="4" w:space="0" w:color="00000A"/>
              <w:left w:val="single" w:sz="4" w:space="0" w:color="00000A"/>
              <w:bottom w:val="single" w:sz="4" w:space="0" w:color="00000A"/>
              <w:right w:val="nil"/>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Нарушения ритма</w:t>
            </w:r>
          </w:p>
        </w:tc>
        <w:tc>
          <w:tcPr>
            <w:tcW w:w="2084" w:type="dxa"/>
            <w:tcBorders>
              <w:top w:val="single" w:sz="4" w:space="0" w:color="00000A"/>
              <w:left w:val="single" w:sz="4" w:space="0" w:color="00000A"/>
              <w:bottom w:val="single" w:sz="4" w:space="0" w:color="00000A"/>
              <w:right w:val="nil"/>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264</w:t>
            </w:r>
          </w:p>
        </w:tc>
        <w:tc>
          <w:tcPr>
            <w:tcW w:w="1124" w:type="dxa"/>
            <w:tcBorders>
              <w:top w:val="single" w:sz="4" w:space="0" w:color="00000A"/>
              <w:left w:val="single" w:sz="4" w:space="0" w:color="00000A"/>
              <w:bottom w:val="single" w:sz="4" w:space="0" w:color="00000A"/>
              <w:right w:val="nil"/>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271</w:t>
            </w:r>
          </w:p>
        </w:tc>
        <w:tc>
          <w:tcPr>
            <w:tcW w:w="1387" w:type="dxa"/>
            <w:tcBorders>
              <w:top w:val="single" w:sz="4" w:space="0" w:color="00000A"/>
              <w:left w:val="single" w:sz="4" w:space="0" w:color="00000A"/>
              <w:bottom w:val="single" w:sz="4" w:space="0" w:color="00000A"/>
              <w:right w:val="single" w:sz="4" w:space="0" w:color="00000A"/>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362</w:t>
            </w:r>
          </w:p>
        </w:tc>
      </w:tr>
      <w:tr w:rsidR="00ED7F17" w:rsidTr="00ED7F17">
        <w:tc>
          <w:tcPr>
            <w:tcW w:w="5294" w:type="dxa"/>
            <w:tcBorders>
              <w:top w:val="single" w:sz="4" w:space="0" w:color="00000A"/>
              <w:left w:val="single" w:sz="4" w:space="0" w:color="00000A"/>
              <w:bottom w:val="single" w:sz="4" w:space="0" w:color="00000A"/>
              <w:right w:val="nil"/>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Врожденные аномалии системы кровообращения</w:t>
            </w:r>
          </w:p>
        </w:tc>
        <w:tc>
          <w:tcPr>
            <w:tcW w:w="2084" w:type="dxa"/>
            <w:tcBorders>
              <w:top w:val="single" w:sz="4" w:space="0" w:color="00000A"/>
              <w:left w:val="single" w:sz="4" w:space="0" w:color="00000A"/>
              <w:bottom w:val="single" w:sz="4" w:space="0" w:color="00000A"/>
              <w:right w:val="nil"/>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26</w:t>
            </w:r>
          </w:p>
        </w:tc>
        <w:tc>
          <w:tcPr>
            <w:tcW w:w="1124" w:type="dxa"/>
            <w:tcBorders>
              <w:top w:val="single" w:sz="4" w:space="0" w:color="00000A"/>
              <w:left w:val="single" w:sz="4" w:space="0" w:color="00000A"/>
              <w:bottom w:val="single" w:sz="4" w:space="0" w:color="00000A"/>
              <w:right w:val="nil"/>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19</w:t>
            </w:r>
          </w:p>
        </w:tc>
        <w:tc>
          <w:tcPr>
            <w:tcW w:w="1387" w:type="dxa"/>
            <w:tcBorders>
              <w:top w:val="single" w:sz="4" w:space="0" w:color="00000A"/>
              <w:left w:val="single" w:sz="4" w:space="0" w:color="00000A"/>
              <w:bottom w:val="single" w:sz="4" w:space="0" w:color="00000A"/>
              <w:right w:val="single" w:sz="4" w:space="0" w:color="00000A"/>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27</w:t>
            </w:r>
          </w:p>
        </w:tc>
      </w:tr>
      <w:tr w:rsidR="00ED7F17" w:rsidTr="00ED7F17">
        <w:tc>
          <w:tcPr>
            <w:tcW w:w="5294" w:type="dxa"/>
            <w:tcBorders>
              <w:top w:val="single" w:sz="4" w:space="0" w:color="00000A"/>
              <w:left w:val="single" w:sz="4" w:space="0" w:color="00000A"/>
              <w:bottom w:val="single" w:sz="4" w:space="0" w:color="00000A"/>
              <w:right w:val="nil"/>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Цереброваскулярная болезнь</w:t>
            </w:r>
          </w:p>
        </w:tc>
        <w:tc>
          <w:tcPr>
            <w:tcW w:w="2084" w:type="dxa"/>
            <w:tcBorders>
              <w:top w:val="single" w:sz="4" w:space="0" w:color="00000A"/>
              <w:left w:val="single" w:sz="4" w:space="0" w:color="00000A"/>
              <w:bottom w:val="single" w:sz="4" w:space="0" w:color="00000A"/>
              <w:right w:val="nil"/>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21</w:t>
            </w:r>
          </w:p>
        </w:tc>
        <w:tc>
          <w:tcPr>
            <w:tcW w:w="1124" w:type="dxa"/>
            <w:tcBorders>
              <w:top w:val="single" w:sz="4" w:space="0" w:color="00000A"/>
              <w:left w:val="single" w:sz="4" w:space="0" w:color="00000A"/>
              <w:bottom w:val="single" w:sz="4" w:space="0" w:color="00000A"/>
              <w:right w:val="nil"/>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31</w:t>
            </w:r>
          </w:p>
        </w:tc>
        <w:tc>
          <w:tcPr>
            <w:tcW w:w="1387" w:type="dxa"/>
            <w:tcBorders>
              <w:top w:val="single" w:sz="4" w:space="0" w:color="00000A"/>
              <w:left w:val="single" w:sz="4" w:space="0" w:color="00000A"/>
              <w:bottom w:val="single" w:sz="4" w:space="0" w:color="00000A"/>
              <w:right w:val="single" w:sz="4" w:space="0" w:color="00000A"/>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32</w:t>
            </w:r>
          </w:p>
        </w:tc>
      </w:tr>
      <w:tr w:rsidR="00ED7F17" w:rsidTr="00ED7F17">
        <w:tc>
          <w:tcPr>
            <w:tcW w:w="5294" w:type="dxa"/>
            <w:tcBorders>
              <w:top w:val="single" w:sz="4" w:space="0" w:color="00000A"/>
              <w:left w:val="single" w:sz="4" w:space="0" w:color="00000A"/>
              <w:bottom w:val="single" w:sz="4" w:space="0" w:color="00000A"/>
              <w:right w:val="nil"/>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Прочие</w:t>
            </w:r>
          </w:p>
        </w:tc>
        <w:tc>
          <w:tcPr>
            <w:tcW w:w="2084" w:type="dxa"/>
            <w:tcBorders>
              <w:top w:val="single" w:sz="4" w:space="0" w:color="00000A"/>
              <w:left w:val="single" w:sz="4" w:space="0" w:color="00000A"/>
              <w:bottom w:val="single" w:sz="4" w:space="0" w:color="00000A"/>
              <w:right w:val="nil"/>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29</w:t>
            </w:r>
          </w:p>
        </w:tc>
        <w:tc>
          <w:tcPr>
            <w:tcW w:w="1124" w:type="dxa"/>
            <w:tcBorders>
              <w:top w:val="single" w:sz="4" w:space="0" w:color="00000A"/>
              <w:left w:val="single" w:sz="4" w:space="0" w:color="00000A"/>
              <w:bottom w:val="single" w:sz="4" w:space="0" w:color="00000A"/>
              <w:right w:val="nil"/>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30</w:t>
            </w:r>
          </w:p>
        </w:tc>
        <w:tc>
          <w:tcPr>
            <w:tcW w:w="1387" w:type="dxa"/>
            <w:tcBorders>
              <w:top w:val="single" w:sz="4" w:space="0" w:color="00000A"/>
              <w:left w:val="single" w:sz="4" w:space="0" w:color="00000A"/>
              <w:bottom w:val="single" w:sz="4" w:space="0" w:color="00000A"/>
              <w:right w:val="single" w:sz="4" w:space="0" w:color="00000A"/>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32</w:t>
            </w:r>
          </w:p>
        </w:tc>
      </w:tr>
      <w:tr w:rsidR="00ED7F17" w:rsidTr="00ED7F17">
        <w:tc>
          <w:tcPr>
            <w:tcW w:w="5294" w:type="dxa"/>
            <w:tcBorders>
              <w:top w:val="single" w:sz="4" w:space="0" w:color="00000A"/>
              <w:left w:val="single" w:sz="4" w:space="0" w:color="00000A"/>
              <w:bottom w:val="single" w:sz="4" w:space="0" w:color="00000A"/>
              <w:right w:val="nil"/>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ВСЕГО</w:t>
            </w:r>
          </w:p>
        </w:tc>
        <w:tc>
          <w:tcPr>
            <w:tcW w:w="2084" w:type="dxa"/>
            <w:tcBorders>
              <w:top w:val="single" w:sz="4" w:space="0" w:color="00000A"/>
              <w:left w:val="single" w:sz="4" w:space="0" w:color="00000A"/>
              <w:bottom w:val="single" w:sz="4" w:space="0" w:color="00000A"/>
              <w:right w:val="nil"/>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1499</w:t>
            </w:r>
          </w:p>
        </w:tc>
        <w:tc>
          <w:tcPr>
            <w:tcW w:w="1124" w:type="dxa"/>
            <w:tcBorders>
              <w:top w:val="single" w:sz="4" w:space="0" w:color="00000A"/>
              <w:left w:val="single" w:sz="4" w:space="0" w:color="00000A"/>
              <w:bottom w:val="single" w:sz="4" w:space="0" w:color="00000A"/>
              <w:right w:val="nil"/>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1339</w:t>
            </w:r>
          </w:p>
        </w:tc>
        <w:tc>
          <w:tcPr>
            <w:tcW w:w="1387" w:type="dxa"/>
            <w:tcBorders>
              <w:top w:val="single" w:sz="4" w:space="0" w:color="00000A"/>
              <w:left w:val="single" w:sz="4" w:space="0" w:color="00000A"/>
              <w:bottom w:val="single" w:sz="4" w:space="0" w:color="00000A"/>
              <w:right w:val="single" w:sz="4" w:space="0" w:color="00000A"/>
            </w:tcBorders>
            <w:hideMark/>
          </w:tcPr>
          <w:p w:rsidR="00ED7F17" w:rsidRDefault="00ED7F17" w:rsidP="00ED7F17">
            <w:pPr>
              <w:numPr>
                <w:ilvl w:val="0"/>
                <w:numId w:val="6"/>
              </w:numPr>
              <w:overflowPunct/>
              <w:spacing w:line="276" w:lineRule="auto"/>
              <w:rPr>
                <w:rFonts w:ascii="Arial" w:eastAsia="Arial" w:hAnsi="Arial" w:cs="Arial"/>
                <w:sz w:val="22"/>
                <w:szCs w:val="22"/>
              </w:rPr>
            </w:pPr>
            <w:r>
              <w:rPr>
                <w:sz w:val="20"/>
                <w:szCs w:val="20"/>
              </w:rPr>
              <w:t>1664</w:t>
            </w:r>
          </w:p>
        </w:tc>
      </w:tr>
    </w:tbl>
    <w:p w:rsidR="00ED7F17" w:rsidRDefault="00ED7F17" w:rsidP="00ED7F17">
      <w:pPr>
        <w:numPr>
          <w:ilvl w:val="0"/>
          <w:numId w:val="6"/>
        </w:numPr>
        <w:overflowPunct/>
        <w:jc w:val="both"/>
        <w:rPr>
          <w:rFonts w:eastAsia="Arial"/>
          <w:sz w:val="22"/>
          <w:szCs w:val="22"/>
        </w:rPr>
      </w:pPr>
    </w:p>
    <w:p w:rsidR="00ED7F17" w:rsidRDefault="00ED7F17" w:rsidP="00ED7F17">
      <w:pPr>
        <w:numPr>
          <w:ilvl w:val="0"/>
          <w:numId w:val="6"/>
        </w:numPr>
        <w:overflowPunct/>
        <w:ind w:firstLine="709"/>
        <w:jc w:val="both"/>
        <w:rPr>
          <w:rFonts w:ascii="Arial" w:hAnsi="Arial" w:cs="Arial"/>
        </w:rPr>
      </w:pPr>
      <w:r>
        <w:t>Общее количество операций, проведенных в ФЦ ССХ у взрослых, в 2018 году по сравнению с 2017 годом возросло на 11,9%. Очередность на полостные кардиохирургические операции составляет в среднем пять месяцев, чрескожную транслюминальную каронароангиопластику – три месяца. В структуре операций возросла доля вмешательств по поводу ИБС (на 20,4%).</w:t>
      </w:r>
    </w:p>
    <w:p w:rsidR="00ED7F17" w:rsidRDefault="00ED7F17" w:rsidP="00ED7F17">
      <w:pPr>
        <w:numPr>
          <w:ilvl w:val="0"/>
          <w:numId w:val="6"/>
        </w:numPr>
        <w:overflowPunct/>
        <w:spacing w:line="276" w:lineRule="auto"/>
        <w:ind w:firstLine="709"/>
        <w:jc w:val="center"/>
        <w:rPr>
          <w:b/>
        </w:rPr>
      </w:pPr>
    </w:p>
    <w:p w:rsidR="00ED7F17" w:rsidRDefault="00ED7F17" w:rsidP="00ED7F17">
      <w:pPr>
        <w:numPr>
          <w:ilvl w:val="0"/>
          <w:numId w:val="6"/>
        </w:numPr>
        <w:overflowPunct/>
        <w:spacing w:line="276" w:lineRule="auto"/>
        <w:ind w:firstLine="709"/>
        <w:jc w:val="center"/>
        <w:rPr>
          <w:sz w:val="22"/>
          <w:szCs w:val="22"/>
        </w:rPr>
      </w:pPr>
      <w:r>
        <w:rPr>
          <w:b/>
        </w:rPr>
        <w:t>Структура диспансерных пациентов, прооперированных в ФЦ ССХ, по нозологическим формам за период 2011 - 2018 гг. (взрослые)</w:t>
      </w:r>
    </w:p>
    <w:tbl>
      <w:tblPr>
        <w:tblW w:w="0" w:type="auto"/>
        <w:tblInd w:w="88" w:type="dxa"/>
        <w:tblLayout w:type="fixed"/>
        <w:tblCellMar>
          <w:left w:w="113" w:type="dxa"/>
        </w:tblCellMar>
        <w:tblLook w:val="04A0" w:firstRow="1" w:lastRow="0" w:firstColumn="1" w:lastColumn="0" w:noHBand="0" w:noVBand="1"/>
      </w:tblPr>
      <w:tblGrid>
        <w:gridCol w:w="7512"/>
        <w:gridCol w:w="1883"/>
      </w:tblGrid>
      <w:tr w:rsidR="00ED7F17" w:rsidTr="00ED7F17">
        <w:tc>
          <w:tcPr>
            <w:tcW w:w="7512" w:type="dxa"/>
            <w:tcBorders>
              <w:top w:val="single" w:sz="4" w:space="0" w:color="00000A"/>
              <w:left w:val="single" w:sz="4" w:space="0" w:color="00000A"/>
              <w:bottom w:val="single" w:sz="4" w:space="0" w:color="00000A"/>
              <w:right w:val="nil"/>
            </w:tcBorders>
            <w:shd w:val="clear" w:color="auto" w:fill="FFFFFF"/>
            <w:hideMark/>
          </w:tcPr>
          <w:p w:rsidR="00ED7F17" w:rsidRDefault="00ED7F17" w:rsidP="00ED7F17">
            <w:pPr>
              <w:numPr>
                <w:ilvl w:val="0"/>
                <w:numId w:val="6"/>
              </w:numPr>
              <w:overflowPunct/>
              <w:spacing w:line="276" w:lineRule="auto"/>
              <w:rPr>
                <w:rFonts w:ascii="Arial" w:eastAsia="Arial" w:hAnsi="Arial" w:cs="Arial"/>
                <w:sz w:val="22"/>
                <w:szCs w:val="22"/>
              </w:rPr>
            </w:pPr>
            <w:r>
              <w:rPr>
                <w:b/>
              </w:rPr>
              <w:t xml:space="preserve">     </w:t>
            </w:r>
            <w:r>
              <w:rPr>
                <w:b/>
                <w:color w:val="000000"/>
              </w:rPr>
              <w:t>Нозологическая форма</w:t>
            </w:r>
          </w:p>
        </w:tc>
        <w:tc>
          <w:tcPr>
            <w:tcW w:w="1883" w:type="dxa"/>
            <w:tcBorders>
              <w:top w:val="single" w:sz="4" w:space="0" w:color="00000A"/>
              <w:left w:val="single" w:sz="4" w:space="0" w:color="00000A"/>
              <w:bottom w:val="single" w:sz="4" w:space="0" w:color="00000A"/>
              <w:right w:val="single" w:sz="4" w:space="0" w:color="00000A"/>
            </w:tcBorders>
            <w:shd w:val="clear" w:color="auto" w:fill="FFFFFF"/>
            <w:hideMark/>
          </w:tcPr>
          <w:p w:rsidR="00ED7F17" w:rsidRDefault="00ED7F17" w:rsidP="00ED7F17">
            <w:pPr>
              <w:numPr>
                <w:ilvl w:val="0"/>
                <w:numId w:val="6"/>
              </w:numPr>
              <w:overflowPunct/>
              <w:spacing w:line="276" w:lineRule="auto"/>
              <w:rPr>
                <w:rFonts w:ascii="Arial" w:eastAsia="Arial" w:hAnsi="Arial" w:cs="Arial"/>
                <w:sz w:val="22"/>
                <w:szCs w:val="22"/>
              </w:rPr>
            </w:pPr>
            <w:r>
              <w:rPr>
                <w:b/>
                <w:color w:val="000000"/>
              </w:rPr>
              <w:t>Количество пациентов</w:t>
            </w:r>
          </w:p>
        </w:tc>
      </w:tr>
      <w:tr w:rsidR="00ED7F17" w:rsidTr="00ED7F17">
        <w:tc>
          <w:tcPr>
            <w:tcW w:w="7512" w:type="dxa"/>
            <w:tcBorders>
              <w:top w:val="single" w:sz="4" w:space="0" w:color="00000A"/>
              <w:left w:val="single" w:sz="4" w:space="0" w:color="00000A"/>
              <w:bottom w:val="single" w:sz="4" w:space="0" w:color="00000A"/>
              <w:right w:val="nil"/>
            </w:tcBorders>
            <w:shd w:val="clear" w:color="auto" w:fill="FFFFFF"/>
            <w:hideMark/>
          </w:tcPr>
          <w:p w:rsidR="00ED7F17" w:rsidRDefault="00ED7F17" w:rsidP="00ED7F17">
            <w:pPr>
              <w:numPr>
                <w:ilvl w:val="0"/>
                <w:numId w:val="6"/>
              </w:numPr>
              <w:overflowPunct/>
              <w:spacing w:line="276" w:lineRule="auto"/>
              <w:rPr>
                <w:rFonts w:ascii="Arial" w:eastAsia="Arial" w:hAnsi="Arial" w:cs="Arial"/>
                <w:sz w:val="22"/>
                <w:szCs w:val="22"/>
              </w:rPr>
            </w:pPr>
            <w:r>
              <w:rPr>
                <w:color w:val="000000"/>
              </w:rPr>
              <w:t>Хронические ревматические болезни сердца</w:t>
            </w:r>
          </w:p>
        </w:tc>
        <w:tc>
          <w:tcPr>
            <w:tcW w:w="1883" w:type="dxa"/>
            <w:tcBorders>
              <w:top w:val="single" w:sz="4" w:space="0" w:color="00000A"/>
              <w:left w:val="single" w:sz="4" w:space="0" w:color="00000A"/>
              <w:bottom w:val="single" w:sz="4" w:space="0" w:color="00000A"/>
              <w:right w:val="single" w:sz="4" w:space="0" w:color="00000A"/>
            </w:tcBorders>
            <w:shd w:val="clear" w:color="auto" w:fill="FFFFFF"/>
            <w:hideMark/>
          </w:tcPr>
          <w:p w:rsidR="00ED7F17" w:rsidRDefault="00ED7F17" w:rsidP="00ED7F17">
            <w:pPr>
              <w:numPr>
                <w:ilvl w:val="0"/>
                <w:numId w:val="6"/>
              </w:numPr>
              <w:overflowPunct/>
              <w:spacing w:line="276" w:lineRule="auto"/>
              <w:rPr>
                <w:rFonts w:ascii="Arial" w:eastAsia="Arial" w:hAnsi="Arial" w:cs="Arial"/>
                <w:sz w:val="22"/>
                <w:szCs w:val="22"/>
              </w:rPr>
            </w:pPr>
            <w:r>
              <w:rPr>
                <w:color w:val="000000"/>
              </w:rPr>
              <w:t>28</w:t>
            </w:r>
          </w:p>
        </w:tc>
      </w:tr>
      <w:tr w:rsidR="00ED7F17" w:rsidTr="00ED7F17">
        <w:tc>
          <w:tcPr>
            <w:tcW w:w="7512" w:type="dxa"/>
            <w:tcBorders>
              <w:top w:val="single" w:sz="4" w:space="0" w:color="00000A"/>
              <w:left w:val="single" w:sz="4" w:space="0" w:color="00000A"/>
              <w:bottom w:val="single" w:sz="4" w:space="0" w:color="00000A"/>
              <w:right w:val="nil"/>
            </w:tcBorders>
            <w:shd w:val="clear" w:color="auto" w:fill="FFFFFF"/>
            <w:hideMark/>
          </w:tcPr>
          <w:p w:rsidR="00ED7F17" w:rsidRDefault="00ED7F17" w:rsidP="00ED7F17">
            <w:pPr>
              <w:numPr>
                <w:ilvl w:val="0"/>
                <w:numId w:val="6"/>
              </w:numPr>
              <w:overflowPunct/>
              <w:spacing w:line="276" w:lineRule="auto"/>
              <w:rPr>
                <w:rFonts w:ascii="Arial" w:eastAsia="Arial" w:hAnsi="Arial" w:cs="Arial"/>
                <w:sz w:val="22"/>
                <w:szCs w:val="22"/>
              </w:rPr>
            </w:pPr>
            <w:r>
              <w:rPr>
                <w:color w:val="000000"/>
              </w:rPr>
              <w:t>Ишемическая болезнь сердца  в том числе:</w:t>
            </w:r>
          </w:p>
        </w:tc>
        <w:tc>
          <w:tcPr>
            <w:tcW w:w="1883" w:type="dxa"/>
            <w:tcBorders>
              <w:top w:val="single" w:sz="4" w:space="0" w:color="00000A"/>
              <w:left w:val="single" w:sz="4" w:space="0" w:color="00000A"/>
              <w:bottom w:val="single" w:sz="4" w:space="0" w:color="00000A"/>
              <w:right w:val="single" w:sz="4" w:space="0" w:color="00000A"/>
            </w:tcBorders>
            <w:shd w:val="clear" w:color="auto" w:fill="FFFFFF"/>
            <w:hideMark/>
          </w:tcPr>
          <w:p w:rsidR="00ED7F17" w:rsidRDefault="00ED7F17" w:rsidP="00ED7F17">
            <w:pPr>
              <w:numPr>
                <w:ilvl w:val="0"/>
                <w:numId w:val="6"/>
              </w:numPr>
              <w:overflowPunct/>
              <w:spacing w:line="276" w:lineRule="auto"/>
              <w:rPr>
                <w:rFonts w:ascii="Arial" w:eastAsia="Arial" w:hAnsi="Arial" w:cs="Arial"/>
                <w:sz w:val="22"/>
                <w:szCs w:val="22"/>
              </w:rPr>
            </w:pPr>
            <w:r>
              <w:rPr>
                <w:color w:val="000000"/>
              </w:rPr>
              <w:t>3510</w:t>
            </w:r>
          </w:p>
        </w:tc>
      </w:tr>
      <w:tr w:rsidR="00ED7F17" w:rsidTr="00ED7F17">
        <w:tc>
          <w:tcPr>
            <w:tcW w:w="7512" w:type="dxa"/>
            <w:tcBorders>
              <w:top w:val="single" w:sz="4" w:space="0" w:color="00000A"/>
              <w:left w:val="single" w:sz="4" w:space="0" w:color="00000A"/>
              <w:bottom w:val="single" w:sz="4" w:space="0" w:color="00000A"/>
              <w:right w:val="nil"/>
            </w:tcBorders>
            <w:shd w:val="clear" w:color="auto" w:fill="FFFFFF"/>
            <w:hideMark/>
          </w:tcPr>
          <w:p w:rsidR="00ED7F17" w:rsidRDefault="00ED7F17" w:rsidP="00ED7F17">
            <w:pPr>
              <w:numPr>
                <w:ilvl w:val="0"/>
                <w:numId w:val="6"/>
              </w:numPr>
              <w:overflowPunct/>
              <w:spacing w:line="276" w:lineRule="auto"/>
              <w:rPr>
                <w:rFonts w:ascii="Arial" w:eastAsia="Arial" w:hAnsi="Arial" w:cs="Arial"/>
                <w:sz w:val="22"/>
                <w:szCs w:val="22"/>
              </w:rPr>
            </w:pPr>
            <w:r>
              <w:rPr>
                <w:color w:val="000000"/>
              </w:rPr>
              <w:t>ИБС стенокардия</w:t>
            </w:r>
          </w:p>
        </w:tc>
        <w:tc>
          <w:tcPr>
            <w:tcW w:w="1883" w:type="dxa"/>
            <w:tcBorders>
              <w:top w:val="single" w:sz="4" w:space="0" w:color="00000A"/>
              <w:left w:val="single" w:sz="4" w:space="0" w:color="00000A"/>
              <w:bottom w:val="single" w:sz="4" w:space="0" w:color="00000A"/>
              <w:right w:val="single" w:sz="4" w:space="0" w:color="00000A"/>
            </w:tcBorders>
            <w:shd w:val="clear" w:color="auto" w:fill="FFFFFF"/>
            <w:hideMark/>
          </w:tcPr>
          <w:p w:rsidR="00ED7F17" w:rsidRDefault="00ED7F17" w:rsidP="00ED7F17">
            <w:pPr>
              <w:numPr>
                <w:ilvl w:val="0"/>
                <w:numId w:val="6"/>
              </w:numPr>
              <w:overflowPunct/>
              <w:spacing w:line="276" w:lineRule="auto"/>
              <w:rPr>
                <w:rFonts w:ascii="Arial" w:eastAsia="Arial" w:hAnsi="Arial" w:cs="Arial"/>
                <w:sz w:val="22"/>
                <w:szCs w:val="22"/>
              </w:rPr>
            </w:pPr>
            <w:r>
              <w:rPr>
                <w:color w:val="000000"/>
              </w:rPr>
              <w:t>1297</w:t>
            </w:r>
          </w:p>
        </w:tc>
      </w:tr>
      <w:tr w:rsidR="00ED7F17" w:rsidTr="00ED7F17">
        <w:tc>
          <w:tcPr>
            <w:tcW w:w="7512" w:type="dxa"/>
            <w:tcBorders>
              <w:top w:val="single" w:sz="4" w:space="0" w:color="00000A"/>
              <w:left w:val="single" w:sz="4" w:space="0" w:color="00000A"/>
              <w:bottom w:val="single" w:sz="4" w:space="0" w:color="00000A"/>
              <w:right w:val="nil"/>
            </w:tcBorders>
            <w:shd w:val="clear" w:color="auto" w:fill="FFFFFF"/>
            <w:hideMark/>
          </w:tcPr>
          <w:p w:rsidR="00ED7F17" w:rsidRDefault="00ED7F17" w:rsidP="00ED7F17">
            <w:pPr>
              <w:numPr>
                <w:ilvl w:val="0"/>
                <w:numId w:val="6"/>
              </w:numPr>
              <w:overflowPunct/>
              <w:spacing w:line="276" w:lineRule="auto"/>
              <w:rPr>
                <w:rFonts w:ascii="Arial" w:eastAsia="Arial" w:hAnsi="Arial" w:cs="Arial"/>
                <w:sz w:val="22"/>
                <w:szCs w:val="22"/>
              </w:rPr>
            </w:pPr>
            <w:r>
              <w:rPr>
                <w:color w:val="000000"/>
              </w:rPr>
              <w:t>Хроническая ишемическая болезнь сердца</w:t>
            </w:r>
          </w:p>
        </w:tc>
        <w:tc>
          <w:tcPr>
            <w:tcW w:w="1883" w:type="dxa"/>
            <w:tcBorders>
              <w:top w:val="single" w:sz="4" w:space="0" w:color="00000A"/>
              <w:left w:val="single" w:sz="4" w:space="0" w:color="00000A"/>
              <w:bottom w:val="single" w:sz="4" w:space="0" w:color="00000A"/>
              <w:right w:val="single" w:sz="4" w:space="0" w:color="00000A"/>
            </w:tcBorders>
            <w:shd w:val="clear" w:color="auto" w:fill="FFFFFF"/>
            <w:hideMark/>
          </w:tcPr>
          <w:p w:rsidR="00ED7F17" w:rsidRDefault="00ED7F17" w:rsidP="00ED7F17">
            <w:pPr>
              <w:numPr>
                <w:ilvl w:val="0"/>
                <w:numId w:val="6"/>
              </w:numPr>
              <w:overflowPunct/>
              <w:spacing w:line="276" w:lineRule="auto"/>
              <w:rPr>
                <w:rFonts w:ascii="Arial" w:eastAsia="Arial" w:hAnsi="Arial" w:cs="Arial"/>
                <w:sz w:val="22"/>
                <w:szCs w:val="22"/>
              </w:rPr>
            </w:pPr>
            <w:r>
              <w:rPr>
                <w:color w:val="000000"/>
              </w:rPr>
              <w:t>2213</w:t>
            </w:r>
          </w:p>
        </w:tc>
      </w:tr>
      <w:tr w:rsidR="00ED7F17" w:rsidTr="00ED7F17">
        <w:tc>
          <w:tcPr>
            <w:tcW w:w="7512" w:type="dxa"/>
            <w:tcBorders>
              <w:top w:val="single" w:sz="4" w:space="0" w:color="00000A"/>
              <w:left w:val="single" w:sz="4" w:space="0" w:color="00000A"/>
              <w:bottom w:val="single" w:sz="4" w:space="0" w:color="00000A"/>
              <w:right w:val="nil"/>
            </w:tcBorders>
            <w:shd w:val="clear" w:color="auto" w:fill="FFFFFF"/>
            <w:hideMark/>
          </w:tcPr>
          <w:p w:rsidR="00ED7F17" w:rsidRDefault="00ED7F17" w:rsidP="00ED7F17">
            <w:pPr>
              <w:numPr>
                <w:ilvl w:val="0"/>
                <w:numId w:val="6"/>
              </w:numPr>
              <w:overflowPunct/>
              <w:spacing w:line="276" w:lineRule="auto"/>
              <w:rPr>
                <w:rFonts w:ascii="Arial" w:eastAsia="Arial" w:hAnsi="Arial" w:cs="Arial"/>
                <w:sz w:val="22"/>
                <w:szCs w:val="22"/>
              </w:rPr>
            </w:pPr>
            <w:r>
              <w:rPr>
                <w:color w:val="000000"/>
              </w:rPr>
              <w:t>Другие болезни сердца (пороки)</w:t>
            </w:r>
          </w:p>
        </w:tc>
        <w:tc>
          <w:tcPr>
            <w:tcW w:w="1883" w:type="dxa"/>
            <w:tcBorders>
              <w:top w:val="single" w:sz="4" w:space="0" w:color="00000A"/>
              <w:left w:val="single" w:sz="4" w:space="0" w:color="00000A"/>
              <w:bottom w:val="single" w:sz="4" w:space="0" w:color="00000A"/>
              <w:right w:val="single" w:sz="4" w:space="0" w:color="00000A"/>
            </w:tcBorders>
            <w:shd w:val="clear" w:color="auto" w:fill="FFFFFF"/>
            <w:hideMark/>
          </w:tcPr>
          <w:p w:rsidR="00ED7F17" w:rsidRDefault="00ED7F17" w:rsidP="00ED7F17">
            <w:pPr>
              <w:numPr>
                <w:ilvl w:val="0"/>
                <w:numId w:val="6"/>
              </w:numPr>
              <w:overflowPunct/>
              <w:spacing w:line="276" w:lineRule="auto"/>
              <w:rPr>
                <w:rFonts w:ascii="Arial" w:eastAsia="Arial" w:hAnsi="Arial" w:cs="Arial"/>
                <w:sz w:val="22"/>
                <w:szCs w:val="22"/>
              </w:rPr>
            </w:pPr>
            <w:r>
              <w:rPr>
                <w:color w:val="000000"/>
              </w:rPr>
              <w:t>155</w:t>
            </w:r>
          </w:p>
        </w:tc>
      </w:tr>
      <w:tr w:rsidR="00ED7F17" w:rsidTr="00ED7F17">
        <w:tc>
          <w:tcPr>
            <w:tcW w:w="7512" w:type="dxa"/>
            <w:tcBorders>
              <w:top w:val="single" w:sz="4" w:space="0" w:color="00000A"/>
              <w:left w:val="single" w:sz="4" w:space="0" w:color="00000A"/>
              <w:bottom w:val="single" w:sz="4" w:space="0" w:color="00000A"/>
              <w:right w:val="nil"/>
            </w:tcBorders>
            <w:shd w:val="clear" w:color="auto" w:fill="FFFFFF"/>
            <w:hideMark/>
          </w:tcPr>
          <w:p w:rsidR="00ED7F17" w:rsidRDefault="00ED7F17" w:rsidP="00ED7F17">
            <w:pPr>
              <w:numPr>
                <w:ilvl w:val="0"/>
                <w:numId w:val="6"/>
              </w:numPr>
              <w:overflowPunct/>
              <w:spacing w:line="276" w:lineRule="auto"/>
              <w:rPr>
                <w:rFonts w:ascii="Arial" w:eastAsia="Arial" w:hAnsi="Arial" w:cs="Arial"/>
                <w:sz w:val="22"/>
                <w:szCs w:val="22"/>
              </w:rPr>
            </w:pPr>
            <w:r>
              <w:rPr>
                <w:color w:val="000000"/>
              </w:rPr>
              <w:t>Кардиомиопатия</w:t>
            </w:r>
          </w:p>
        </w:tc>
        <w:tc>
          <w:tcPr>
            <w:tcW w:w="1883" w:type="dxa"/>
            <w:tcBorders>
              <w:top w:val="single" w:sz="4" w:space="0" w:color="00000A"/>
              <w:left w:val="single" w:sz="4" w:space="0" w:color="00000A"/>
              <w:bottom w:val="single" w:sz="4" w:space="0" w:color="00000A"/>
              <w:right w:val="single" w:sz="4" w:space="0" w:color="00000A"/>
            </w:tcBorders>
            <w:shd w:val="clear" w:color="auto" w:fill="FFFFFF"/>
            <w:hideMark/>
          </w:tcPr>
          <w:p w:rsidR="00ED7F17" w:rsidRDefault="00ED7F17" w:rsidP="00ED7F17">
            <w:pPr>
              <w:numPr>
                <w:ilvl w:val="0"/>
                <w:numId w:val="6"/>
              </w:numPr>
              <w:overflowPunct/>
              <w:spacing w:line="276" w:lineRule="auto"/>
              <w:rPr>
                <w:rFonts w:ascii="Arial" w:eastAsia="Arial" w:hAnsi="Arial" w:cs="Arial"/>
                <w:sz w:val="22"/>
                <w:szCs w:val="22"/>
              </w:rPr>
            </w:pPr>
            <w:r>
              <w:rPr>
                <w:color w:val="000000"/>
              </w:rPr>
              <w:t>13</w:t>
            </w:r>
          </w:p>
        </w:tc>
      </w:tr>
      <w:tr w:rsidR="00ED7F17" w:rsidTr="00ED7F17">
        <w:tc>
          <w:tcPr>
            <w:tcW w:w="7512" w:type="dxa"/>
            <w:tcBorders>
              <w:top w:val="single" w:sz="4" w:space="0" w:color="00000A"/>
              <w:left w:val="single" w:sz="4" w:space="0" w:color="00000A"/>
              <w:bottom w:val="single" w:sz="4" w:space="0" w:color="00000A"/>
              <w:right w:val="nil"/>
            </w:tcBorders>
            <w:shd w:val="clear" w:color="auto" w:fill="FFFFFF"/>
            <w:hideMark/>
          </w:tcPr>
          <w:p w:rsidR="00ED7F17" w:rsidRDefault="00ED7F17" w:rsidP="00ED7F17">
            <w:pPr>
              <w:numPr>
                <w:ilvl w:val="0"/>
                <w:numId w:val="6"/>
              </w:numPr>
              <w:overflowPunct/>
              <w:spacing w:line="276" w:lineRule="auto"/>
              <w:rPr>
                <w:rFonts w:ascii="Arial" w:eastAsia="Arial" w:hAnsi="Arial" w:cs="Arial"/>
                <w:sz w:val="22"/>
                <w:szCs w:val="22"/>
              </w:rPr>
            </w:pPr>
            <w:r>
              <w:rPr>
                <w:color w:val="000000"/>
              </w:rPr>
              <w:t>Блокады и нарушения проводимости</w:t>
            </w:r>
          </w:p>
        </w:tc>
        <w:tc>
          <w:tcPr>
            <w:tcW w:w="1883" w:type="dxa"/>
            <w:tcBorders>
              <w:top w:val="single" w:sz="4" w:space="0" w:color="00000A"/>
              <w:left w:val="single" w:sz="4" w:space="0" w:color="00000A"/>
              <w:bottom w:val="single" w:sz="4" w:space="0" w:color="00000A"/>
              <w:right w:val="single" w:sz="4" w:space="0" w:color="00000A"/>
            </w:tcBorders>
            <w:shd w:val="clear" w:color="auto" w:fill="FFFFFF"/>
            <w:hideMark/>
          </w:tcPr>
          <w:p w:rsidR="00ED7F17" w:rsidRDefault="00ED7F17" w:rsidP="00ED7F17">
            <w:pPr>
              <w:numPr>
                <w:ilvl w:val="0"/>
                <w:numId w:val="6"/>
              </w:numPr>
              <w:overflowPunct/>
              <w:spacing w:line="276" w:lineRule="auto"/>
              <w:rPr>
                <w:rFonts w:ascii="Arial" w:eastAsia="Arial" w:hAnsi="Arial" w:cs="Arial"/>
                <w:sz w:val="22"/>
                <w:szCs w:val="22"/>
              </w:rPr>
            </w:pPr>
            <w:r>
              <w:rPr>
                <w:color w:val="000000"/>
              </w:rPr>
              <w:t>79</w:t>
            </w:r>
          </w:p>
        </w:tc>
      </w:tr>
      <w:tr w:rsidR="00ED7F17" w:rsidTr="00ED7F17">
        <w:tc>
          <w:tcPr>
            <w:tcW w:w="7512" w:type="dxa"/>
            <w:tcBorders>
              <w:top w:val="single" w:sz="4" w:space="0" w:color="00000A"/>
              <w:left w:val="single" w:sz="4" w:space="0" w:color="00000A"/>
              <w:bottom w:val="single" w:sz="4" w:space="0" w:color="00000A"/>
              <w:right w:val="nil"/>
            </w:tcBorders>
            <w:shd w:val="clear" w:color="auto" w:fill="FFFFFF"/>
            <w:hideMark/>
          </w:tcPr>
          <w:p w:rsidR="00ED7F17" w:rsidRDefault="00ED7F17" w:rsidP="00ED7F17">
            <w:pPr>
              <w:numPr>
                <w:ilvl w:val="0"/>
                <w:numId w:val="6"/>
              </w:numPr>
              <w:overflowPunct/>
              <w:spacing w:line="276" w:lineRule="auto"/>
              <w:rPr>
                <w:rFonts w:ascii="Arial" w:eastAsia="Arial" w:hAnsi="Arial" w:cs="Arial"/>
                <w:sz w:val="22"/>
                <w:szCs w:val="22"/>
              </w:rPr>
            </w:pPr>
            <w:r>
              <w:rPr>
                <w:color w:val="000000"/>
              </w:rPr>
              <w:t>Нарушения ритма</w:t>
            </w:r>
          </w:p>
        </w:tc>
        <w:tc>
          <w:tcPr>
            <w:tcW w:w="1883" w:type="dxa"/>
            <w:tcBorders>
              <w:top w:val="single" w:sz="4" w:space="0" w:color="00000A"/>
              <w:left w:val="single" w:sz="4" w:space="0" w:color="00000A"/>
              <w:bottom w:val="single" w:sz="4" w:space="0" w:color="00000A"/>
              <w:right w:val="single" w:sz="4" w:space="0" w:color="00000A"/>
            </w:tcBorders>
            <w:shd w:val="clear" w:color="auto" w:fill="FFFFFF"/>
            <w:hideMark/>
          </w:tcPr>
          <w:p w:rsidR="00ED7F17" w:rsidRDefault="00ED7F17" w:rsidP="00ED7F17">
            <w:pPr>
              <w:numPr>
                <w:ilvl w:val="0"/>
                <w:numId w:val="6"/>
              </w:numPr>
              <w:overflowPunct/>
              <w:spacing w:line="276" w:lineRule="auto"/>
              <w:rPr>
                <w:rFonts w:ascii="Arial" w:eastAsia="Arial" w:hAnsi="Arial" w:cs="Arial"/>
                <w:sz w:val="22"/>
                <w:szCs w:val="22"/>
              </w:rPr>
            </w:pPr>
            <w:r>
              <w:rPr>
                <w:color w:val="000000"/>
              </w:rPr>
              <w:t>122</w:t>
            </w:r>
          </w:p>
        </w:tc>
      </w:tr>
      <w:tr w:rsidR="00ED7F17" w:rsidTr="00ED7F17">
        <w:tc>
          <w:tcPr>
            <w:tcW w:w="7512" w:type="dxa"/>
            <w:tcBorders>
              <w:top w:val="single" w:sz="4" w:space="0" w:color="00000A"/>
              <w:left w:val="single" w:sz="4" w:space="0" w:color="00000A"/>
              <w:bottom w:val="single" w:sz="4" w:space="0" w:color="00000A"/>
              <w:right w:val="nil"/>
            </w:tcBorders>
            <w:shd w:val="clear" w:color="auto" w:fill="FFFFFF"/>
            <w:hideMark/>
          </w:tcPr>
          <w:p w:rsidR="00ED7F17" w:rsidRDefault="00ED7F17" w:rsidP="00ED7F17">
            <w:pPr>
              <w:numPr>
                <w:ilvl w:val="0"/>
                <w:numId w:val="6"/>
              </w:numPr>
              <w:overflowPunct/>
              <w:spacing w:line="276" w:lineRule="auto"/>
              <w:rPr>
                <w:rFonts w:ascii="Arial" w:eastAsia="Arial" w:hAnsi="Arial" w:cs="Arial"/>
                <w:sz w:val="22"/>
                <w:szCs w:val="22"/>
              </w:rPr>
            </w:pPr>
            <w:r>
              <w:rPr>
                <w:color w:val="000000"/>
              </w:rPr>
              <w:t>Врожденные аномалия системы кровообращения</w:t>
            </w:r>
          </w:p>
        </w:tc>
        <w:tc>
          <w:tcPr>
            <w:tcW w:w="1883" w:type="dxa"/>
            <w:tcBorders>
              <w:top w:val="single" w:sz="4" w:space="0" w:color="00000A"/>
              <w:left w:val="single" w:sz="4" w:space="0" w:color="00000A"/>
              <w:bottom w:val="single" w:sz="4" w:space="0" w:color="00000A"/>
              <w:right w:val="single" w:sz="4" w:space="0" w:color="00000A"/>
            </w:tcBorders>
            <w:shd w:val="clear" w:color="auto" w:fill="FFFFFF"/>
            <w:hideMark/>
          </w:tcPr>
          <w:p w:rsidR="00ED7F17" w:rsidRDefault="00ED7F17" w:rsidP="00ED7F17">
            <w:pPr>
              <w:numPr>
                <w:ilvl w:val="0"/>
                <w:numId w:val="6"/>
              </w:numPr>
              <w:overflowPunct/>
              <w:spacing w:line="276" w:lineRule="auto"/>
              <w:rPr>
                <w:rFonts w:ascii="Arial" w:eastAsia="Arial" w:hAnsi="Arial" w:cs="Arial"/>
                <w:sz w:val="22"/>
                <w:szCs w:val="22"/>
              </w:rPr>
            </w:pPr>
            <w:r>
              <w:rPr>
                <w:color w:val="000000"/>
              </w:rPr>
              <w:t>78</w:t>
            </w:r>
          </w:p>
        </w:tc>
      </w:tr>
      <w:tr w:rsidR="00ED7F17" w:rsidTr="00ED7F17">
        <w:tc>
          <w:tcPr>
            <w:tcW w:w="7512" w:type="dxa"/>
            <w:tcBorders>
              <w:top w:val="single" w:sz="4" w:space="0" w:color="00000A"/>
              <w:left w:val="single" w:sz="4" w:space="0" w:color="00000A"/>
              <w:bottom w:val="single" w:sz="4" w:space="0" w:color="00000A"/>
              <w:right w:val="nil"/>
            </w:tcBorders>
            <w:shd w:val="clear" w:color="auto" w:fill="FFFFFF"/>
            <w:hideMark/>
          </w:tcPr>
          <w:p w:rsidR="00ED7F17" w:rsidRDefault="00ED7F17" w:rsidP="00ED7F17">
            <w:pPr>
              <w:numPr>
                <w:ilvl w:val="0"/>
                <w:numId w:val="6"/>
              </w:numPr>
              <w:overflowPunct/>
              <w:spacing w:line="276" w:lineRule="auto"/>
              <w:rPr>
                <w:rFonts w:ascii="Arial" w:eastAsia="Arial" w:hAnsi="Arial" w:cs="Arial"/>
                <w:sz w:val="22"/>
                <w:szCs w:val="22"/>
              </w:rPr>
            </w:pPr>
            <w:r>
              <w:rPr>
                <w:color w:val="000000"/>
              </w:rPr>
              <w:t>Цереброваскулярная болезнь</w:t>
            </w:r>
          </w:p>
        </w:tc>
        <w:tc>
          <w:tcPr>
            <w:tcW w:w="1883" w:type="dxa"/>
            <w:tcBorders>
              <w:top w:val="single" w:sz="4" w:space="0" w:color="00000A"/>
              <w:left w:val="single" w:sz="4" w:space="0" w:color="00000A"/>
              <w:bottom w:val="single" w:sz="4" w:space="0" w:color="00000A"/>
              <w:right w:val="single" w:sz="4" w:space="0" w:color="00000A"/>
            </w:tcBorders>
            <w:shd w:val="clear" w:color="auto" w:fill="FFFFFF"/>
            <w:hideMark/>
          </w:tcPr>
          <w:p w:rsidR="00ED7F17" w:rsidRDefault="00ED7F17" w:rsidP="00ED7F17">
            <w:pPr>
              <w:numPr>
                <w:ilvl w:val="0"/>
                <w:numId w:val="6"/>
              </w:numPr>
              <w:overflowPunct/>
              <w:spacing w:line="276" w:lineRule="auto"/>
              <w:rPr>
                <w:rFonts w:ascii="Arial" w:eastAsia="Arial" w:hAnsi="Arial" w:cs="Arial"/>
                <w:sz w:val="22"/>
                <w:szCs w:val="22"/>
              </w:rPr>
            </w:pPr>
            <w:r>
              <w:rPr>
                <w:color w:val="000000"/>
              </w:rPr>
              <w:t>252</w:t>
            </w:r>
          </w:p>
        </w:tc>
      </w:tr>
      <w:tr w:rsidR="00ED7F17" w:rsidTr="00ED7F17">
        <w:trPr>
          <w:trHeight w:val="416"/>
        </w:trPr>
        <w:tc>
          <w:tcPr>
            <w:tcW w:w="7512" w:type="dxa"/>
            <w:tcBorders>
              <w:top w:val="single" w:sz="4" w:space="0" w:color="00000A"/>
              <w:left w:val="single" w:sz="4" w:space="0" w:color="00000A"/>
              <w:bottom w:val="single" w:sz="4" w:space="0" w:color="00000A"/>
              <w:right w:val="nil"/>
            </w:tcBorders>
            <w:shd w:val="clear" w:color="auto" w:fill="FFFFFF"/>
            <w:hideMark/>
          </w:tcPr>
          <w:p w:rsidR="00ED7F17" w:rsidRDefault="00ED7F17" w:rsidP="00ED7F17">
            <w:pPr>
              <w:numPr>
                <w:ilvl w:val="0"/>
                <w:numId w:val="6"/>
              </w:numPr>
              <w:overflowPunct/>
              <w:spacing w:line="276" w:lineRule="auto"/>
              <w:rPr>
                <w:rFonts w:ascii="Arial" w:eastAsia="Arial" w:hAnsi="Arial" w:cs="Arial"/>
                <w:sz w:val="22"/>
                <w:szCs w:val="22"/>
              </w:rPr>
            </w:pPr>
            <w:r>
              <w:rPr>
                <w:color w:val="000000"/>
              </w:rPr>
              <w:t xml:space="preserve">Прочие </w:t>
            </w:r>
          </w:p>
        </w:tc>
        <w:tc>
          <w:tcPr>
            <w:tcW w:w="1883" w:type="dxa"/>
            <w:tcBorders>
              <w:top w:val="single" w:sz="4" w:space="0" w:color="00000A"/>
              <w:left w:val="single" w:sz="4" w:space="0" w:color="00000A"/>
              <w:bottom w:val="single" w:sz="4" w:space="0" w:color="00000A"/>
              <w:right w:val="single" w:sz="4" w:space="0" w:color="00000A"/>
            </w:tcBorders>
            <w:shd w:val="clear" w:color="auto" w:fill="FFFFFF"/>
            <w:hideMark/>
          </w:tcPr>
          <w:p w:rsidR="00ED7F17" w:rsidRDefault="00ED7F17" w:rsidP="00ED7F17">
            <w:pPr>
              <w:numPr>
                <w:ilvl w:val="0"/>
                <w:numId w:val="6"/>
              </w:numPr>
              <w:overflowPunct/>
              <w:spacing w:line="276" w:lineRule="auto"/>
              <w:rPr>
                <w:rFonts w:ascii="Arial" w:eastAsia="Arial" w:hAnsi="Arial" w:cs="Arial"/>
                <w:sz w:val="22"/>
                <w:szCs w:val="22"/>
              </w:rPr>
            </w:pPr>
            <w:r>
              <w:rPr>
                <w:color w:val="000000"/>
              </w:rPr>
              <w:t>33</w:t>
            </w:r>
          </w:p>
        </w:tc>
      </w:tr>
      <w:tr w:rsidR="00ED7F17" w:rsidTr="00ED7F17">
        <w:tc>
          <w:tcPr>
            <w:tcW w:w="7512" w:type="dxa"/>
            <w:tcBorders>
              <w:top w:val="single" w:sz="4" w:space="0" w:color="00000A"/>
              <w:left w:val="single" w:sz="4" w:space="0" w:color="00000A"/>
              <w:bottom w:val="single" w:sz="4" w:space="0" w:color="00000A"/>
              <w:right w:val="nil"/>
            </w:tcBorders>
            <w:shd w:val="clear" w:color="auto" w:fill="FFFFFF"/>
            <w:hideMark/>
          </w:tcPr>
          <w:p w:rsidR="00ED7F17" w:rsidRDefault="00ED7F17" w:rsidP="00ED7F17">
            <w:pPr>
              <w:numPr>
                <w:ilvl w:val="0"/>
                <w:numId w:val="6"/>
              </w:numPr>
              <w:overflowPunct/>
              <w:spacing w:line="276" w:lineRule="auto"/>
              <w:rPr>
                <w:rFonts w:ascii="Arial" w:eastAsia="Arial" w:hAnsi="Arial" w:cs="Arial"/>
                <w:sz w:val="22"/>
                <w:szCs w:val="22"/>
              </w:rPr>
            </w:pPr>
            <w:r>
              <w:t>ВСЕГО</w:t>
            </w:r>
          </w:p>
        </w:tc>
        <w:tc>
          <w:tcPr>
            <w:tcW w:w="1883" w:type="dxa"/>
            <w:tcBorders>
              <w:top w:val="single" w:sz="4" w:space="0" w:color="00000A"/>
              <w:left w:val="single" w:sz="4" w:space="0" w:color="00000A"/>
              <w:bottom w:val="single" w:sz="4" w:space="0" w:color="00000A"/>
              <w:right w:val="single" w:sz="4" w:space="0" w:color="00000A"/>
            </w:tcBorders>
            <w:shd w:val="clear" w:color="auto" w:fill="FFFFFF"/>
            <w:hideMark/>
          </w:tcPr>
          <w:p w:rsidR="00ED7F17" w:rsidRDefault="00ED7F17" w:rsidP="00ED7F17">
            <w:pPr>
              <w:numPr>
                <w:ilvl w:val="0"/>
                <w:numId w:val="6"/>
              </w:numPr>
              <w:overflowPunct/>
              <w:spacing w:line="276" w:lineRule="auto"/>
              <w:rPr>
                <w:rFonts w:ascii="Arial" w:eastAsia="Arial" w:hAnsi="Arial" w:cs="Arial"/>
                <w:sz w:val="22"/>
                <w:szCs w:val="22"/>
              </w:rPr>
            </w:pPr>
            <w:r>
              <w:t>4270</w:t>
            </w:r>
          </w:p>
        </w:tc>
      </w:tr>
    </w:tbl>
    <w:p w:rsidR="00ED7F17" w:rsidRDefault="00ED7F17" w:rsidP="00ED7F17">
      <w:pPr>
        <w:numPr>
          <w:ilvl w:val="0"/>
          <w:numId w:val="6"/>
        </w:numPr>
        <w:overflowPunct/>
        <w:ind w:firstLine="709"/>
        <w:jc w:val="both"/>
        <w:rPr>
          <w:rFonts w:ascii="Arial" w:eastAsia="Arial" w:hAnsi="Arial" w:cs="Arial"/>
          <w:sz w:val="22"/>
          <w:szCs w:val="22"/>
        </w:rPr>
      </w:pPr>
    </w:p>
    <w:p w:rsidR="00ED7F17" w:rsidRDefault="00ED7F17" w:rsidP="00ED7F17">
      <w:pPr>
        <w:numPr>
          <w:ilvl w:val="0"/>
          <w:numId w:val="6"/>
        </w:numPr>
        <w:overflowPunct/>
        <w:ind w:firstLine="709"/>
        <w:jc w:val="both"/>
      </w:pPr>
      <w:r>
        <w:rPr>
          <w:bCs/>
          <w:iCs/>
        </w:rPr>
        <w:t xml:space="preserve">При анализе данных по диспансерному наблюдению взрослых пациентов, прооперированных в ФЦССХ, в 2018 году количество пациентов, состоящих на диспансерном учете, несколько возросло по сравнению с  2017 годом. </w:t>
      </w:r>
      <w:r>
        <w:rPr>
          <w:bCs/>
          <w:iCs/>
          <w:color w:val="000000"/>
        </w:rPr>
        <w:t>Из 4270  диспансерных пациентов -2150 - жители г. Астрахани (50,4%), 2138 (49,6%) – жители Астраханской области.</w:t>
      </w:r>
    </w:p>
    <w:p w:rsidR="00ED7F17" w:rsidRDefault="00ED7F17" w:rsidP="00ED7F17">
      <w:pPr>
        <w:ind w:firstLine="709"/>
        <w:jc w:val="both"/>
      </w:pPr>
    </w:p>
    <w:p w:rsidR="00ED7F17" w:rsidRDefault="00ED7F17" w:rsidP="00ED7F17">
      <w:pPr>
        <w:jc w:val="center"/>
      </w:pPr>
      <w:r>
        <w:rPr>
          <w:rFonts w:eastAsia="ArialMT"/>
          <w:b/>
          <w:color w:val="000000"/>
          <w:highlight w:val="white"/>
          <w:lang w:eastAsia="en-US"/>
        </w:rPr>
        <w:t>Анализ оснащенности учреждений Астраханской области в 2018 году</w:t>
      </w:r>
    </w:p>
    <w:p w:rsidR="00ED7F17" w:rsidRDefault="00ED7F17" w:rsidP="00ED7F17">
      <w:pPr>
        <w:jc w:val="center"/>
      </w:pPr>
      <w:r>
        <w:rPr>
          <w:rFonts w:eastAsia="ArialMT"/>
          <w:b/>
          <w:color w:val="000000"/>
          <w:highlight w:val="white"/>
          <w:lang w:eastAsia="en-US"/>
        </w:rPr>
        <w:t>на соответствие Порядкам оснащения регионального сосудистого центра и первичных сосудистых отделений</w:t>
      </w:r>
    </w:p>
    <w:p w:rsidR="00ED7F17" w:rsidRDefault="00ED7F17" w:rsidP="00ED7F17">
      <w:pPr>
        <w:ind w:firstLine="680"/>
        <w:jc w:val="both"/>
      </w:pPr>
      <w:r>
        <w:rPr>
          <w:rFonts w:eastAsia="ArialMT"/>
          <w:color w:val="000000"/>
          <w:highlight w:val="white"/>
          <w:lang w:eastAsia="en-US"/>
        </w:rPr>
        <w:t xml:space="preserve">По результатам анализа оснащенности учреждений, участвующих в оказании медицинской помощи пациентам при БСК выявлен технический износ как тяжелой техники, так медицинского оборудования регионального центра и первичных сосудистых отделений. </w:t>
      </w:r>
    </w:p>
    <w:p w:rsidR="00ED7F17" w:rsidRDefault="00ED7F17" w:rsidP="00ED7F17">
      <w:pPr>
        <w:ind w:firstLine="709"/>
        <w:jc w:val="both"/>
      </w:pPr>
      <w:r>
        <w:t>ГБУЗ АО «Городская клиническая больница №3 им. С.М. Кирова»:</w:t>
      </w:r>
    </w:p>
    <w:p w:rsidR="00ED7F17" w:rsidRDefault="00ED7F17" w:rsidP="00ED7F17">
      <w:pPr>
        <w:ind w:firstLine="709"/>
        <w:jc w:val="both"/>
      </w:pPr>
      <w:r>
        <w:t xml:space="preserve">- в кардиологическом отделении укомплектованность медицинским оборудованием и медицинскими изделиями составляет 90,26%, количество оборудования необходимого для дооснащения 37 единиц. </w:t>
      </w:r>
    </w:p>
    <w:p w:rsidR="00ED7F17" w:rsidRDefault="00ED7F17" w:rsidP="00ED7F17">
      <w:pPr>
        <w:ind w:firstLine="709"/>
        <w:jc w:val="both"/>
      </w:pPr>
      <w:r>
        <w:t>- в неврологическом отделении укомплектованность медицинским оборудованием и медицинскими изделиями составляет 94,49%, количество оборудования необходимого для дооснащения 18 единиц.</w:t>
      </w:r>
    </w:p>
    <w:p w:rsidR="00ED7F17" w:rsidRDefault="00ED7F17" w:rsidP="00ED7F17">
      <w:pPr>
        <w:ind w:firstLine="709"/>
        <w:jc w:val="both"/>
      </w:pPr>
      <w:r>
        <w:t>ГБУЗ АО Александро-Мариинская областная клиническая больница:</w:t>
      </w:r>
    </w:p>
    <w:p w:rsidR="00ED7F17" w:rsidRDefault="00ED7F17" w:rsidP="00ED7F17">
      <w:pPr>
        <w:ind w:firstLine="709"/>
        <w:jc w:val="both"/>
      </w:pPr>
      <w:r>
        <w:t xml:space="preserve">- в кардиологическом отделении укомплектованность медицинским оборудованием и медицинскими изделиями составляет 80,37%, количество оборудования необходимого для дооснащения 53 единицы. </w:t>
      </w:r>
    </w:p>
    <w:p w:rsidR="00ED7F17" w:rsidRDefault="00ED7F17" w:rsidP="00ED7F17">
      <w:pPr>
        <w:ind w:firstLine="709"/>
        <w:jc w:val="both"/>
      </w:pPr>
      <w:r>
        <w:t>- в неврологическом отделении укомплектованность медицинским оборудованием и медицинскими изделиями составляет 65,24%, количество оборудования необходимого для дооснащения 253 единицы.</w:t>
      </w:r>
    </w:p>
    <w:p w:rsidR="00ED7F17" w:rsidRDefault="00ED7F17" w:rsidP="00ED7F17">
      <w:pPr>
        <w:ind w:firstLine="709"/>
        <w:jc w:val="both"/>
      </w:pPr>
      <w:r>
        <w:t>ГБУЗ АО «Ахтубинская районная больница»:</w:t>
      </w:r>
    </w:p>
    <w:p w:rsidR="00ED7F17" w:rsidRDefault="00ED7F17" w:rsidP="00ED7F17">
      <w:pPr>
        <w:ind w:firstLine="709"/>
        <w:jc w:val="both"/>
      </w:pPr>
      <w:r>
        <w:t xml:space="preserve">- в кардиологическом отделении укомплектованность медицинским оборудованием и медицинскими изделиями составляет 72,34%, количество оборудования необходимого для дооснащения 13 единиц. </w:t>
      </w:r>
    </w:p>
    <w:p w:rsidR="00ED7F17" w:rsidRDefault="00ED7F17" w:rsidP="00ED7F17">
      <w:pPr>
        <w:ind w:firstLine="680"/>
        <w:jc w:val="both"/>
      </w:pPr>
      <w:r>
        <w:rPr>
          <w:rFonts w:eastAsia="ArialMT"/>
          <w:color w:val="000000"/>
          <w:highlight w:val="white"/>
          <w:lang w:eastAsia="en-US"/>
        </w:rPr>
        <w:t>- в неврологическом отделении укомплектованность медицинским оборудованием и медицинскими изделиями составляет 46,58%, количество оборудования необходимого для дооснащения 86 единиц.</w:t>
      </w:r>
    </w:p>
    <w:p w:rsidR="00ED7F17" w:rsidRDefault="00ED7F17" w:rsidP="00ED7F17">
      <w:pPr>
        <w:ind w:firstLine="680"/>
        <w:jc w:val="both"/>
      </w:pPr>
      <w:r>
        <w:rPr>
          <w:rFonts w:eastAsia="ArialMT"/>
          <w:color w:val="000000"/>
          <w:highlight w:val="white"/>
          <w:lang w:eastAsia="en-US"/>
        </w:rPr>
        <w:t>На основании проведенных мероприятий была сформирована потребность в медицинском оборудовании для переоснащения/дооснащения регионального сосудистого центра и первичных сосудистых отделений в период с 2019 года по 2024 год.</w:t>
      </w:r>
    </w:p>
    <w:p w:rsidR="00ED7F17" w:rsidRDefault="00ED7F17" w:rsidP="00ED7F17">
      <w:pPr>
        <w:ind w:firstLine="709"/>
        <w:jc w:val="both"/>
      </w:pPr>
      <w:r>
        <w:rPr>
          <w:rFonts w:eastAsia="ArialMT"/>
          <w:color w:val="000000"/>
          <w:highlight w:val="white"/>
          <w:lang w:eastAsia="en-US"/>
        </w:rPr>
        <w:t>Таким образом, для переоснащения/дооснащения:</w:t>
      </w:r>
    </w:p>
    <w:p w:rsidR="00ED7F17" w:rsidRDefault="00ED7F17" w:rsidP="00ED7F17">
      <w:pPr>
        <w:ind w:firstLine="709"/>
        <w:jc w:val="both"/>
      </w:pPr>
      <w:r>
        <w:rPr>
          <w:rFonts w:eastAsia="ArialMT"/>
          <w:color w:val="000000"/>
          <w:highlight w:val="white"/>
          <w:lang w:eastAsia="en-US"/>
        </w:rPr>
        <w:t>1. ГБУЗ АО АМОКБ (регионального сосудистого центра) запланировано приобретение медицинского оборудования:</w:t>
      </w:r>
    </w:p>
    <w:p w:rsidR="00ED7F17" w:rsidRDefault="00ED7F17" w:rsidP="00ED7F17">
      <w:pPr>
        <w:ind w:firstLine="709"/>
        <w:jc w:val="both"/>
      </w:pPr>
      <w:r>
        <w:rPr>
          <w:rFonts w:eastAsia="ArialMT"/>
          <w:color w:val="000000"/>
          <w:highlight w:val="white"/>
          <w:lang w:eastAsia="en-US"/>
        </w:rPr>
        <w:t>- ангиографический комплекс;</w:t>
      </w:r>
    </w:p>
    <w:p w:rsidR="00ED7F17" w:rsidRDefault="00ED7F17" w:rsidP="00ED7F17">
      <w:pPr>
        <w:ind w:firstLine="709"/>
        <w:jc w:val="both"/>
      </w:pPr>
      <w:r>
        <w:rPr>
          <w:rFonts w:eastAsia="ArialMT"/>
          <w:color w:val="000000"/>
          <w:highlight w:val="white"/>
          <w:lang w:eastAsia="en-US"/>
        </w:rPr>
        <w:t>- т</w:t>
      </w:r>
      <w:r>
        <w:rPr>
          <w:color w:val="000000"/>
          <w:highlight w:val="white"/>
        </w:rPr>
        <w:t>омограф рентгеновский компьютерный от 64 срезов с программным обеспечением и сопутствующим оборудованием для выполнения исследований сердца и головного мозга, в том числе перфузии и КТ-ангиографии;</w:t>
      </w:r>
    </w:p>
    <w:p w:rsidR="00ED7F17" w:rsidRDefault="00ED7F17" w:rsidP="00ED7F17">
      <w:pPr>
        <w:ind w:firstLine="709"/>
        <w:jc w:val="both"/>
      </w:pPr>
      <w:r>
        <w:rPr>
          <w:rFonts w:eastAsia="ArialMT"/>
          <w:color w:val="000000"/>
          <w:highlight w:val="white"/>
          <w:lang w:eastAsia="en-US"/>
        </w:rPr>
        <w:t>- томограф магнитно-резонансный от 1,5 Тл;</w:t>
      </w:r>
    </w:p>
    <w:p w:rsidR="00ED7F17" w:rsidRDefault="00ED7F17" w:rsidP="00ED7F17">
      <w:pPr>
        <w:ind w:firstLine="709"/>
        <w:jc w:val="both"/>
      </w:pPr>
      <w:r>
        <w:rPr>
          <w:rFonts w:eastAsia="ArialMT"/>
          <w:color w:val="000000"/>
          <w:highlight w:val="white"/>
          <w:lang w:eastAsia="en-US"/>
        </w:rPr>
        <w:t>- у</w:t>
      </w:r>
      <w:r>
        <w:rPr>
          <w:color w:val="000000"/>
          <w:highlight w:val="white"/>
        </w:rPr>
        <w:t>становка навигационная стереотаксическая в комплекте с принадлежностями, совместимая с микроскопом;</w:t>
      </w:r>
    </w:p>
    <w:p w:rsidR="00ED7F17" w:rsidRDefault="00ED7F17" w:rsidP="00ED7F17">
      <w:pPr>
        <w:ind w:firstLine="709"/>
        <w:jc w:val="both"/>
      </w:pPr>
      <w:r>
        <w:rPr>
          <w:rFonts w:eastAsia="ArialMT"/>
          <w:color w:val="000000"/>
          <w:highlight w:val="white"/>
          <w:lang w:eastAsia="en-US"/>
        </w:rPr>
        <w:t>- микроскоп операционный;</w:t>
      </w:r>
    </w:p>
    <w:p w:rsidR="00ED7F17" w:rsidRDefault="00ED7F17" w:rsidP="00ED7F17">
      <w:pPr>
        <w:ind w:firstLine="709"/>
        <w:jc w:val="both"/>
      </w:pPr>
      <w:r>
        <w:rPr>
          <w:rFonts w:eastAsia="ArialMT"/>
          <w:color w:val="000000"/>
          <w:highlight w:val="white"/>
          <w:lang w:eastAsia="en-US"/>
        </w:rPr>
        <w:t>- н</w:t>
      </w:r>
      <w:r>
        <w:rPr>
          <w:color w:val="000000"/>
          <w:highlight w:val="white"/>
        </w:rPr>
        <w:t>ейроэндоскопическая стойка с набором жестких нейроэндоскопов и гибким по Гаабу и всеми принадлежностями и инструментам для аспирации внутримозговых гематом;</w:t>
      </w:r>
    </w:p>
    <w:p w:rsidR="00ED7F17" w:rsidRDefault="00ED7F17" w:rsidP="00ED7F17">
      <w:pPr>
        <w:ind w:firstLine="709"/>
        <w:jc w:val="both"/>
      </w:pPr>
      <w:r>
        <w:rPr>
          <w:rFonts w:eastAsia="ArialMT"/>
          <w:color w:val="000000"/>
          <w:highlight w:val="white"/>
          <w:lang w:eastAsia="en-US"/>
        </w:rPr>
        <w:t>- ко</w:t>
      </w:r>
      <w:r>
        <w:rPr>
          <w:color w:val="000000"/>
          <w:highlight w:val="white"/>
        </w:rPr>
        <w:t>мплекс диагностический для ультразвуковых исследований экспертного класса с возможностью исследования брахиоцефальных сосудов, аорты, нижней полой вены, выполнения транскраниальных исследований трансторакальной и чреспищеводной эхокардиографии —2  шт.;</w:t>
      </w:r>
    </w:p>
    <w:p w:rsidR="00ED7F17" w:rsidRDefault="00ED7F17" w:rsidP="00ED7F17">
      <w:pPr>
        <w:ind w:firstLine="709"/>
        <w:jc w:val="both"/>
      </w:pPr>
      <w:r>
        <w:rPr>
          <w:rFonts w:eastAsia="ArialMT"/>
          <w:color w:val="000000"/>
          <w:highlight w:val="white"/>
          <w:lang w:eastAsia="en-US"/>
        </w:rPr>
        <w:t>- а</w:t>
      </w:r>
      <w:r>
        <w:rPr>
          <w:color w:val="000000"/>
          <w:highlight w:val="white"/>
        </w:rPr>
        <w:t>ппарат для искусственной вентиляции легких — 9 шт.;</w:t>
      </w:r>
    </w:p>
    <w:p w:rsidR="00ED7F17" w:rsidRDefault="00ED7F17" w:rsidP="00ED7F17">
      <w:pPr>
        <w:ind w:firstLine="709"/>
        <w:jc w:val="both"/>
      </w:pPr>
      <w:r>
        <w:rPr>
          <w:color w:val="000000"/>
          <w:highlight w:val="white"/>
        </w:rPr>
        <w:t>- оборудование для медицинской реабилитации (столы для кинезотерапии- 2 шт., подъемник для больных -1 шт., комплекс для транскраниальной магнитной стимуляции-1 шт., стабилоплатформа с биологической обратной связью- 1шт., система для разгрузки веса тела пациента, оборудование для проведения кинезотерапии с разгрузкой веса тела- 1 шт., аппарат для роботизированной механотерапии верхней конечности-1 шт., аппарат для роботизированной механотерапии нижних конечностей (конечности)-1 шт., велоэргометр роботизированный -1 шт., тренажер с биологической обратной связью для восстановления равновесия-1 шт., тренажер с биологической обратной связью для тренировки ходьбы-1 шт., тренажеры для увеличения силы и объема движений в суставах конечностей-1 шт., аппарат для пассивной, активно-пассивной механотерапии с биологической обратной связью, оборудование для восстановления мышечной силы для мелких мышц (механизированное устройство для восстановления активных движений в пальцах)-1 шт., оборудование для восстановления двигательной активности, координации движений конечностей, бытовой деятельности и самообслуживания с оценкой функциональных возможностей при помощи интерактивных программ-1 шт.).</w:t>
      </w:r>
    </w:p>
    <w:p w:rsidR="00ED7F17" w:rsidRDefault="00ED7F17" w:rsidP="00ED7F17">
      <w:pPr>
        <w:ind w:firstLine="709"/>
        <w:jc w:val="both"/>
      </w:pPr>
      <w:r>
        <w:rPr>
          <w:color w:val="000000"/>
          <w:highlight w:val="white"/>
        </w:rPr>
        <w:t xml:space="preserve">2. ГБУЗ АО «Городская клиническая больница №3 им. С.М. Кирова» (первичное сосудистое отделение) </w:t>
      </w:r>
      <w:r>
        <w:rPr>
          <w:rFonts w:eastAsia="ArialMT"/>
          <w:color w:val="000000"/>
          <w:highlight w:val="white"/>
          <w:lang w:eastAsia="en-US"/>
        </w:rPr>
        <w:t>запланировано приобретение медицинского оборудования:</w:t>
      </w:r>
    </w:p>
    <w:p w:rsidR="00ED7F17" w:rsidRDefault="00ED7F17" w:rsidP="00ED7F17">
      <w:pPr>
        <w:ind w:firstLine="709"/>
        <w:jc w:val="both"/>
      </w:pPr>
      <w:r>
        <w:rPr>
          <w:rFonts w:eastAsia="ArialMT"/>
          <w:color w:val="000000"/>
          <w:highlight w:val="white"/>
          <w:lang w:eastAsia="en-US"/>
        </w:rPr>
        <w:t>- ангиографический комплекс;</w:t>
      </w:r>
    </w:p>
    <w:p w:rsidR="00ED7F17" w:rsidRDefault="00ED7F17" w:rsidP="00ED7F17">
      <w:pPr>
        <w:ind w:firstLine="709"/>
        <w:jc w:val="both"/>
      </w:pPr>
      <w:r>
        <w:rPr>
          <w:rFonts w:eastAsia="ArialMT"/>
          <w:color w:val="000000"/>
          <w:highlight w:val="white"/>
          <w:lang w:eastAsia="en-US"/>
        </w:rPr>
        <w:t>- т</w:t>
      </w:r>
      <w:r>
        <w:rPr>
          <w:color w:val="000000"/>
          <w:highlight w:val="white"/>
        </w:rPr>
        <w:t>омограф рентгеновский компьютерный от 16 срезов с программным обеспечением и сопутствующим оборудованием для выполнения исследований сердца и головного мозга, в том числе перфузии и КТ-ангиографии;</w:t>
      </w:r>
    </w:p>
    <w:p w:rsidR="00ED7F17" w:rsidRDefault="00ED7F17" w:rsidP="00ED7F17">
      <w:pPr>
        <w:ind w:firstLine="709"/>
        <w:jc w:val="both"/>
      </w:pPr>
      <w:r>
        <w:rPr>
          <w:rFonts w:eastAsia="ArialMT"/>
          <w:color w:val="000000"/>
          <w:highlight w:val="white"/>
          <w:lang w:eastAsia="en-US"/>
        </w:rPr>
        <w:t>- а</w:t>
      </w:r>
      <w:r>
        <w:rPr>
          <w:color w:val="000000"/>
          <w:highlight w:val="white"/>
        </w:rPr>
        <w:t>ппарат для искусственной вентиляции легких — 7 шт.;</w:t>
      </w:r>
    </w:p>
    <w:p w:rsidR="00ED7F17" w:rsidRDefault="00ED7F17" w:rsidP="00ED7F17">
      <w:pPr>
        <w:ind w:firstLine="709"/>
        <w:jc w:val="both"/>
      </w:pPr>
      <w:r>
        <w:rPr>
          <w:color w:val="000000"/>
          <w:highlight w:val="white"/>
        </w:rPr>
        <w:t>- диагностический аппарат для ультразвуковых исследований сердца и сосудов-1 шт.</w:t>
      </w:r>
    </w:p>
    <w:p w:rsidR="00ED7F17" w:rsidRDefault="00ED7F17" w:rsidP="00ED7F17">
      <w:pPr>
        <w:ind w:firstLine="709"/>
        <w:jc w:val="both"/>
      </w:pPr>
      <w:r>
        <w:rPr>
          <w:color w:val="000000"/>
          <w:highlight w:val="white"/>
        </w:rPr>
        <w:t>- комплекс диагностический для ультразвуковых исследований высокого класса с возможностью исследования брахиоцефальных сосудов, выполнения транскраниальных исследований, трансторакальной  эхокардиографии-1 шт.</w:t>
      </w:r>
    </w:p>
    <w:p w:rsidR="00ED7F17" w:rsidRDefault="00ED7F17" w:rsidP="00ED7F17">
      <w:pPr>
        <w:ind w:firstLine="709"/>
        <w:jc w:val="both"/>
      </w:pPr>
      <w:r>
        <w:rPr>
          <w:color w:val="000000"/>
          <w:highlight w:val="white"/>
        </w:rPr>
        <w:t>- оборудование для медицинской реабилитации (столы для кинезотерапии- 2  шт., подъемник для больных -1 шт., стабилоплатформа с биологической обратной связью- 1шт., система для разгрузки веса тела пациента, оборудование для проведения кинезотерапии с разгрузкой веса тела- 1 шт., аппарат для роботизированной механотерапии верхней конечности-1 шт., аппарат для роботизированной механотерапии нижних конечностей (конечности)-1 шт., велоэргометр роботизированный -1 шт., тренажер с биологической обратной связью для восстановления равновесия-1 шт., тренажер с биологической обратной связью для тренировки ходьбы-1 шт., тренажеры для увеличения силы и объема движений в суставах конечностей-1 шт., аппарат для пассивной, активно-пассивной механотерапии с биологической обратной связью, оборудование для восстановления мышечной силы для мелких мышц (механизированное устройство для восстановления активных движений в пальцах)-1 шт., оборудование для восстановления двигательной активности, координации движений конечностей, бытовой деятельности и самообслуживания с оценкой функциональных возможностей при помощи интерактивных программ-1 шт.);</w:t>
      </w:r>
    </w:p>
    <w:p w:rsidR="00ED7F17" w:rsidRDefault="00ED7F17" w:rsidP="00ED7F17">
      <w:pPr>
        <w:ind w:firstLine="709"/>
        <w:jc w:val="both"/>
      </w:pPr>
      <w:r>
        <w:rPr>
          <w:color w:val="000000"/>
          <w:highlight w:val="white"/>
        </w:rPr>
        <w:t xml:space="preserve">3. ГБУЗ АО «Ахтубинская районная больница» (первичное сосудистое отделение) </w:t>
      </w:r>
      <w:r>
        <w:rPr>
          <w:rFonts w:eastAsia="ArialMT"/>
          <w:color w:val="000000"/>
          <w:highlight w:val="white"/>
          <w:lang w:eastAsia="en-US"/>
        </w:rPr>
        <w:t>запланировано приобретение медицинского оборудования:</w:t>
      </w:r>
    </w:p>
    <w:p w:rsidR="00ED7F17" w:rsidRDefault="00ED7F17" w:rsidP="00ED7F17">
      <w:pPr>
        <w:ind w:firstLine="709"/>
        <w:jc w:val="both"/>
      </w:pPr>
      <w:r>
        <w:rPr>
          <w:rFonts w:eastAsia="ArialMT"/>
          <w:color w:val="000000"/>
          <w:highlight w:val="white"/>
          <w:lang w:eastAsia="en-US"/>
        </w:rPr>
        <w:t>- ангиографический комплекс;</w:t>
      </w:r>
    </w:p>
    <w:p w:rsidR="00ED7F17" w:rsidRDefault="00ED7F17" w:rsidP="00ED7F17">
      <w:pPr>
        <w:ind w:firstLine="709"/>
        <w:jc w:val="both"/>
      </w:pPr>
      <w:r>
        <w:rPr>
          <w:rFonts w:eastAsia="ArialMT"/>
          <w:color w:val="000000"/>
          <w:highlight w:val="white"/>
          <w:lang w:eastAsia="en-US"/>
        </w:rPr>
        <w:t>- т</w:t>
      </w:r>
      <w:r>
        <w:rPr>
          <w:color w:val="000000"/>
          <w:highlight w:val="white"/>
        </w:rPr>
        <w:t>омограф рентгеновский компьютерный от 16 срезов с программным обеспечением и сопутствующим оборудованием для выполнения исследований сердца и головного мозга, в том числе перфузии и КТ-ангиографии;</w:t>
      </w:r>
    </w:p>
    <w:p w:rsidR="00ED7F17" w:rsidRDefault="00ED7F17" w:rsidP="00ED7F17">
      <w:pPr>
        <w:ind w:firstLine="709"/>
        <w:jc w:val="both"/>
      </w:pPr>
      <w:r>
        <w:rPr>
          <w:rFonts w:eastAsia="ArialMT"/>
          <w:color w:val="000000"/>
          <w:highlight w:val="white"/>
          <w:lang w:eastAsia="en-US"/>
        </w:rPr>
        <w:t>- а</w:t>
      </w:r>
      <w:r>
        <w:rPr>
          <w:color w:val="000000"/>
          <w:highlight w:val="white"/>
        </w:rPr>
        <w:t>ппарат для искусственной вентиляции легких — 2 шт.;</w:t>
      </w:r>
    </w:p>
    <w:p w:rsidR="00ED7F17" w:rsidRDefault="00ED7F17" w:rsidP="00ED7F17">
      <w:pPr>
        <w:ind w:firstLine="709"/>
        <w:jc w:val="both"/>
      </w:pPr>
      <w:r>
        <w:rPr>
          <w:color w:val="000000"/>
          <w:highlight w:val="white"/>
        </w:rPr>
        <w:t>- диагностический аппарат для ультразвуковых исследований сердца и сосудов-1 шт.</w:t>
      </w:r>
    </w:p>
    <w:p w:rsidR="00ED7F17" w:rsidRDefault="00ED7F17" w:rsidP="00ED7F17">
      <w:pPr>
        <w:ind w:firstLine="709"/>
        <w:jc w:val="both"/>
      </w:pPr>
      <w:r>
        <w:rPr>
          <w:color w:val="000000"/>
          <w:highlight w:val="white"/>
        </w:rPr>
        <w:t>- комплекс диагностический для ультразвуковых исследований высокого класса с возможностью исследования брахиоцефальных сосудов, выполнения транскраниальных исследований, трансторакальной  эхокардиографии-1 шт.</w:t>
      </w:r>
    </w:p>
    <w:p w:rsidR="00ED7F17" w:rsidRDefault="00ED7F17" w:rsidP="00ED7F17">
      <w:pPr>
        <w:ind w:firstLine="709"/>
        <w:jc w:val="both"/>
      </w:pPr>
      <w:r>
        <w:rPr>
          <w:color w:val="000000"/>
          <w:highlight w:val="white"/>
        </w:rPr>
        <w:t>- оборудование для медицинской реабилитации (столы для кинезотерапии- 1  шт., подъемник для больных -1 шт., стабилоплатформа с биологической обратной связью- 1шт., система для разгрузки веса тела пациента, оборудование для проведения кинезотерапии с разгрузкой веса тела- 1 шт., аппарат для роботизированной механотерапии верхней конечности-1 шт., аппарат для роботизированной механотерапии нижних конечностей (конечности)-1 шт., велоэргометр роботизированный -1 шт., тренажер с биологической обратной связью для восстановления равновесия-1 шт., тренажер с биологической обратной связью для тренировки ходьбы-1 шт., тренажеры для увеличения силы и объема движений в суставах конечностей-1 шт., аппарат для пассивной, активно-пассивной механотерапии с биологической обратной связью, оборудование для восстановления мышечной силы для мелких мышц (механизированное устройство для восстановления активных движений в пальцах)-1 шт., оборудование для восстановления двигательной активности, координации движений конечностей, бытовой деятельности и самообслуживания с оценкой функциональных возможностей при помощи интерактивных программ-1 шт.);</w:t>
      </w:r>
    </w:p>
    <w:p w:rsidR="00ED7F17" w:rsidRDefault="00ED7F17" w:rsidP="00ED7F17">
      <w:pPr>
        <w:ind w:firstLine="709"/>
        <w:jc w:val="both"/>
      </w:pPr>
      <w:r>
        <w:rPr>
          <w:rFonts w:eastAsia="ArialMT"/>
          <w:color w:val="000000"/>
          <w:highlight w:val="white"/>
          <w:lang w:eastAsia="en-US"/>
        </w:rPr>
        <w:t>На территории Астраханской области эффективно используется при БСК 10 единиц тяжелой техники (магнитно-резонансный томограф -1, компьютерные томографы- 6 шт., ангиографический комплекс - 3шт.).</w:t>
      </w:r>
    </w:p>
    <w:p w:rsidR="00ED7F17" w:rsidRDefault="00ED7F17" w:rsidP="00ED7F17">
      <w:pPr>
        <w:jc w:val="both"/>
        <w:rPr>
          <w:b/>
          <w:color w:val="000000"/>
          <w:highlight w:val="yellow"/>
        </w:rPr>
      </w:pPr>
    </w:p>
    <w:p w:rsidR="00ED7F17" w:rsidRDefault="00ED7F17" w:rsidP="00ED7F17">
      <w:pPr>
        <w:jc w:val="center"/>
        <w:rPr>
          <w:rFonts w:ascii="Arial" w:hAnsi="Arial" w:cs="Arial"/>
          <w:sz w:val="22"/>
          <w:szCs w:val="22"/>
        </w:rPr>
      </w:pPr>
      <w:r>
        <w:rPr>
          <w:rFonts w:eastAsia="ArialMT"/>
          <w:b/>
          <w:color w:val="000000"/>
          <w:lang w:eastAsia="en-US"/>
        </w:rPr>
        <w:t>Анализ эффективности использования тяжелого медицинского оборудования в 2018 году в РСЦ и ПСО Астраханской области</w:t>
      </w:r>
    </w:p>
    <w:p w:rsidR="00ED7F17" w:rsidRDefault="00ED7F17" w:rsidP="00ED7F17">
      <w:pPr>
        <w:jc w:val="both"/>
        <w:rPr>
          <w:rFonts w:eastAsia="ArialMT"/>
          <w:color w:val="000000"/>
          <w:highlight w:val="white"/>
          <w:lang w:eastAsia="en-US"/>
        </w:rPr>
      </w:pPr>
      <w:r>
        <w:rPr>
          <w:rFonts w:ascii="Arial" w:eastAsia="Arial" w:hAnsi="Arial" w:cs="Arial"/>
          <w:sz w:val="22"/>
          <w:szCs w:val="22"/>
        </w:rPr>
        <w:object w:dxaOrig="9228" w:dyaOrig="67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1.25pt;height:335.25pt" o:ole="" filled="t">
            <v:fill color2="black"/>
            <v:imagedata r:id="rId60" o:title="" croptop="-5f" cropbottom="-5f" cropleft="-3f" cropright="-3f"/>
          </v:shape>
          <o:OLEObject Type="Embed" ProgID="Excel.Sheet.12" ShapeID="_x0000_i1025" DrawAspect="Content" ObjectID="_1622021458" r:id="rId61"/>
        </w:object>
      </w:r>
    </w:p>
    <w:p w:rsidR="00ED7F17" w:rsidRDefault="00ED7F17" w:rsidP="00ED7F17">
      <w:pPr>
        <w:ind w:firstLine="709"/>
        <w:jc w:val="both"/>
        <w:rPr>
          <w:rFonts w:eastAsia="ArialMT"/>
          <w:color w:val="000000"/>
          <w:highlight w:val="white"/>
          <w:lang w:eastAsia="en-US"/>
        </w:rPr>
      </w:pPr>
    </w:p>
    <w:p w:rsidR="00ED7F17" w:rsidRDefault="00ED7F17" w:rsidP="00ED7F17">
      <w:pPr>
        <w:ind w:firstLine="709"/>
        <w:jc w:val="both"/>
        <w:rPr>
          <w:rFonts w:ascii="Arial" w:eastAsia="Arial" w:hAnsi="Arial" w:cs="Arial"/>
          <w:sz w:val="22"/>
          <w:szCs w:val="22"/>
        </w:rPr>
      </w:pPr>
      <w:r>
        <w:rPr>
          <w:rFonts w:eastAsia="ArialMT"/>
          <w:color w:val="000000"/>
          <w:highlight w:val="white"/>
          <w:lang w:eastAsia="en-US"/>
        </w:rPr>
        <w:t>К</w:t>
      </w:r>
      <w:r>
        <w:rPr>
          <w:color w:val="000000"/>
          <w:highlight w:val="white"/>
        </w:rPr>
        <w:t>омпьютерный томограф «SOMATOM Emotion 16», SIEMENS (2008 года выпуска) ГБУЗ АО АМОКБ вышел из строя, подлежит списанию (не работает с 2016 года).</w:t>
      </w:r>
    </w:p>
    <w:p w:rsidR="00ED7F17" w:rsidRDefault="00ED7F17" w:rsidP="00ED7F17">
      <w:pPr>
        <w:ind w:firstLine="709"/>
        <w:jc w:val="both"/>
      </w:pPr>
      <w:r>
        <w:rPr>
          <w:color w:val="000000"/>
          <w:highlight w:val="white"/>
        </w:rPr>
        <w:t>Сложное («тяжелое») лечебно-диагностическое оборудование в государственных медицинских организациях Астраханской области в 100% случаев используется в 2-сменном и круглосуточном режиме (при целевом значении не менее 70%) с учетом рекомендуемого Роздравнадзором норматива нагрузки.</w:t>
      </w:r>
    </w:p>
    <w:p w:rsidR="00ED7F17" w:rsidRDefault="00ED7F17" w:rsidP="00ED7F17">
      <w:pPr>
        <w:tabs>
          <w:tab w:val="left" w:pos="9645"/>
        </w:tabs>
        <w:ind w:firstLine="709"/>
        <w:jc w:val="both"/>
      </w:pPr>
      <w:r>
        <w:rPr>
          <w:highlight w:val="white"/>
        </w:rPr>
        <w:t>Низкая эффективность использования компьютерного томографа</w:t>
      </w:r>
      <w:r>
        <w:rPr>
          <w:color w:val="000000"/>
          <w:highlight w:val="white"/>
        </w:rPr>
        <w:t xml:space="preserve"> «NEW VIZ-16 ГБУЗ АО «Ахтубинская районная больница» связана </w:t>
      </w:r>
      <w:r>
        <w:rPr>
          <w:highlight w:val="white"/>
        </w:rPr>
        <w:t>с частыми поломками оборудования и длительным простоем -112 дней в 2018 году.</w:t>
      </w:r>
    </w:p>
    <w:p w:rsidR="00ED7F17" w:rsidRDefault="00ED7F17" w:rsidP="00ED7F17">
      <w:pPr>
        <w:tabs>
          <w:tab w:val="left" w:pos="9645"/>
        </w:tabs>
        <w:ind w:firstLine="709"/>
        <w:jc w:val="both"/>
      </w:pPr>
      <w:r>
        <w:t xml:space="preserve">Простой КТ аппаратов фиксировался также в ГБУЗ АМОКБ в период с 01.01.2018 по 26.02.2018 (аппарат </w:t>
      </w:r>
      <w:r>
        <w:rPr>
          <w:color w:val="000000"/>
        </w:rPr>
        <w:t>«SOMATOM Definition AS (As+Config.)Excel Edition», SIEMENS, 2012 года выпуска) и в период с 19.01.2018 по 27.02.2018</w:t>
      </w:r>
      <w:r>
        <w:t xml:space="preserve"> (аппарат </w:t>
      </w:r>
      <w:r>
        <w:rPr>
          <w:color w:val="000000"/>
        </w:rPr>
        <w:t>«Brilliance СТ 64 Channel», «Philips»,  2012 года выпуска).</w:t>
      </w:r>
    </w:p>
    <w:p w:rsidR="00ED7F17" w:rsidRDefault="00ED7F17" w:rsidP="00ED7F17">
      <w:pPr>
        <w:tabs>
          <w:tab w:val="left" w:pos="9645"/>
        </w:tabs>
        <w:ind w:firstLine="709"/>
        <w:jc w:val="both"/>
      </w:pPr>
      <w:r>
        <w:t xml:space="preserve">Удельный вес исследований рентгеновской компьютерной томографии увеличился на 8,4% в абсолютных цифрах с 78970 до 85665 исследований, при этом амбулаторным пациентам проведено на 13,5% исследований больше, чем в 2017году. </w:t>
      </w:r>
    </w:p>
    <w:p w:rsidR="00ED7F17" w:rsidRDefault="00ED7F17" w:rsidP="00ED7F17">
      <w:pPr>
        <w:tabs>
          <w:tab w:val="left" w:pos="9645"/>
        </w:tabs>
        <w:ind w:firstLine="709"/>
        <w:jc w:val="both"/>
      </w:pPr>
      <w:r>
        <w:t>На 7,3% увеличился удельный вес КТ- исследований с контрастированием (внутривенным и болюсным).</w:t>
      </w:r>
    </w:p>
    <w:p w:rsidR="00ED7F17" w:rsidRDefault="00ED7F17" w:rsidP="00ED7F17">
      <w:pPr>
        <w:tabs>
          <w:tab w:val="left" w:pos="9645"/>
        </w:tabs>
        <w:ind w:firstLine="709"/>
        <w:jc w:val="both"/>
      </w:pPr>
      <w:r>
        <w:t>Внутривенное контрастирование составляет 0,09% (в 2017г. -0,08 %). Внутривенное болюсное контрастирование составляет 8,9% (в 2017г -8,8%). Наиболее частыми областями исследований были: головной мозг 30%, (в 2017г. – 28%), брюшная полость, забрюшинное пространство и малый таз 30%, (в 2017г -31%), органы грудной клетки 27,2%, (в 2017г.- 28%).</w:t>
      </w:r>
    </w:p>
    <w:p w:rsidR="00ED7F17" w:rsidRDefault="00ED7F17" w:rsidP="00ED7F17">
      <w:pPr>
        <w:tabs>
          <w:tab w:val="left" w:pos="9645"/>
        </w:tabs>
        <w:ind w:firstLine="709"/>
        <w:jc w:val="both"/>
      </w:pPr>
      <w:r>
        <w:t>Магнитно-резонансных томографических исследований стало больше на 15%, при этом амбулаторным пациентам проведено на 2,5% исследований меньше, чем в 2017г. Удельный вес МРТ-исследований с внутривенным контрастированием составил 16% от общего количества МРТ-исследований, (в 2017г. -20%).</w:t>
      </w:r>
    </w:p>
    <w:p w:rsidR="00ED7F17" w:rsidRDefault="00ED7F17" w:rsidP="00ED7F17">
      <w:pPr>
        <w:tabs>
          <w:tab w:val="left" w:pos="9645"/>
        </w:tabs>
        <w:ind w:firstLine="709"/>
        <w:jc w:val="both"/>
      </w:pPr>
      <w:r>
        <w:t xml:space="preserve">Среди МРТ-исследований преобладали исследования области головного мозга 47%, (в 2017г. 53%), а также позвоночника и спинного мозга 28,2%, (в 2017г.-  29,6%). </w:t>
      </w:r>
    </w:p>
    <w:p w:rsidR="00ED7F17" w:rsidRDefault="00ED7F17" w:rsidP="00ED7F17">
      <w:pPr>
        <w:tabs>
          <w:tab w:val="left" w:pos="9645"/>
        </w:tabs>
        <w:ind w:firstLine="850"/>
        <w:jc w:val="both"/>
      </w:pPr>
    </w:p>
    <w:p w:rsidR="00ED7F17" w:rsidRDefault="00ED7F17" w:rsidP="00ED7F17">
      <w:pPr>
        <w:tabs>
          <w:tab w:val="left" w:pos="9645"/>
        </w:tabs>
        <w:jc w:val="center"/>
        <w:rPr>
          <w:rFonts w:ascii="Arial" w:hAnsi="Arial" w:cs="Arial"/>
          <w:sz w:val="22"/>
          <w:szCs w:val="22"/>
        </w:rPr>
      </w:pPr>
      <w:r>
        <w:rPr>
          <w:b/>
        </w:rPr>
        <w:t>Анализ схем маршрутизации больных с ОКС/ОНМК в регионе</w:t>
      </w:r>
    </w:p>
    <w:p w:rsidR="00ED7F17" w:rsidRDefault="00ED7F17" w:rsidP="00ED7F17">
      <w:pPr>
        <w:tabs>
          <w:tab w:val="left" w:pos="9645"/>
        </w:tabs>
        <w:ind w:firstLine="709"/>
        <w:jc w:val="both"/>
        <w:rPr>
          <w:b/>
        </w:rPr>
      </w:pPr>
    </w:p>
    <w:p w:rsidR="00ED7F17" w:rsidRDefault="00ED7F17" w:rsidP="00ED7F17">
      <w:pPr>
        <w:tabs>
          <w:tab w:val="left" w:pos="9645"/>
        </w:tabs>
        <w:jc w:val="center"/>
        <w:rPr>
          <w:rFonts w:ascii="Arial" w:hAnsi="Arial" w:cs="Arial"/>
          <w:sz w:val="22"/>
          <w:szCs w:val="22"/>
        </w:rPr>
      </w:pPr>
      <w:r>
        <w:rPr>
          <w:b/>
        </w:rPr>
        <w:t>Маршрутизация больных с ОКС</w:t>
      </w:r>
    </w:p>
    <w:p w:rsidR="00ED7F17" w:rsidRDefault="00ED7F17" w:rsidP="00ED7F17">
      <w:pPr>
        <w:ind w:firstLine="709"/>
        <w:jc w:val="both"/>
      </w:pPr>
      <w:r>
        <w:rPr>
          <w:rFonts w:eastAsia="Calibri"/>
          <w:iCs/>
        </w:rPr>
        <w:t>В соответствии с географическими особенностями региона, была разработана маршрутизация пациентов с острым коронарным синдромом на территории Астраханской области (распоряжение министерства здравоохранения Астраханской области от 28.06.2013</w:t>
      </w:r>
      <w:r>
        <w:t xml:space="preserve"> № 540р «О реализации мероприятий, направленных на совершенствование оказания медицинской помощи больным с сосудистыми заболеваниями на территории Астраханской области»). </w:t>
      </w:r>
      <w:r>
        <w:rPr>
          <w:rFonts w:eastAsia="Calibri"/>
          <w:iCs/>
        </w:rPr>
        <w:t>На основании утвержденной маршрутизации, оказывается медицинская помощь пациентам с острым коронарным синдромом и острыми нарушениями мозгового кровообращения. Пациенты с ОКС с подъемом сегмента ST маршрутизируются по двум стратегиям:</w:t>
      </w:r>
    </w:p>
    <w:p w:rsidR="00ED7F17" w:rsidRDefault="00ED7F17" w:rsidP="00ED7F17">
      <w:pPr>
        <w:ind w:firstLine="709"/>
        <w:jc w:val="both"/>
      </w:pPr>
      <w:r>
        <w:rPr>
          <w:rFonts w:eastAsia="Calibri"/>
          <w:iCs/>
        </w:rPr>
        <w:t xml:space="preserve">1. Стратегия первичного ЧКВ. Применяется в областном центре и близлежащих населенных пунктах, доставка из которых в РСЦ может быть осуществлена в течение 120 минут после первичного медицинского контакта. </w:t>
      </w:r>
    </w:p>
    <w:p w:rsidR="00ED7F17" w:rsidRDefault="00ED7F17" w:rsidP="00ED7F17">
      <w:pPr>
        <w:ind w:firstLine="709"/>
        <w:jc w:val="both"/>
      </w:pPr>
      <w:r>
        <w:rPr>
          <w:rFonts w:eastAsia="Calibri"/>
          <w:iCs/>
        </w:rPr>
        <w:t xml:space="preserve">2. Фармакоинвазивная стратегия - проведение тромболитической терапии с последующим коронароангиографическим контролем ее эффективности в РСЦ и, при необходимости, проведения ЧКВ. Применяется во всех остальных случаях. </w:t>
      </w:r>
    </w:p>
    <w:p w:rsidR="00ED7F17" w:rsidRDefault="00ED7F17" w:rsidP="00ED7F17">
      <w:pPr>
        <w:ind w:firstLine="709"/>
        <w:jc w:val="both"/>
      </w:pPr>
      <w:r>
        <w:rPr>
          <w:rFonts w:eastAsia="Calibri"/>
          <w:iCs/>
        </w:rPr>
        <w:t xml:space="preserve">При оказании медицинской помощи пациентам с ОКС без подъема сегмента ST также применяется стратегия первичного ЧКВ и консервативная терапия. </w:t>
      </w:r>
    </w:p>
    <w:p w:rsidR="00ED7F17" w:rsidRDefault="00ED7F17" w:rsidP="00ED7F17">
      <w:pPr>
        <w:ind w:firstLine="709"/>
        <w:jc w:val="both"/>
      </w:pPr>
      <w:r>
        <w:rPr>
          <w:rFonts w:eastAsia="Calibri"/>
          <w:iCs/>
        </w:rPr>
        <w:t>В соответствии с постановлением министерства здравоохранения Астраханской области от 06.04.2012 №36П «О создании регионального сосудистого центра и первичных сосудистых отделений на территории Астраханской области» учреждения, оказывающие специализированную медицинскую помощь, сосредоточены в областном центре: первичное сосудистое отделение с отделением неотложной кардиологии на 60 коек на базе ГБУЗ АО «ГКБ №3 им. С.М.Кирова» и региональный сосудистый центр с отделением неотложной кардиологии на 40 коек на базе ГБУЗ АО Александро-Мариинской областной клинической больницы (койки ПРиТ в структуру РСЦ не входят, используются на функциональной основе койки</w:t>
      </w:r>
      <w:r>
        <w:rPr>
          <w:rFonts w:eastAsia="Calibri"/>
          <w:iCs/>
          <w:szCs w:val="28"/>
        </w:rPr>
        <w:t xml:space="preserve"> </w:t>
      </w:r>
      <w:r>
        <w:rPr>
          <w:rFonts w:eastAsia="Calibri"/>
          <w:iCs/>
        </w:rPr>
        <w:t xml:space="preserve">ОРиТ терапевтического профиля).  </w:t>
      </w:r>
    </w:p>
    <w:p w:rsidR="00ED7F17" w:rsidRDefault="00ED7F17" w:rsidP="00ED7F17">
      <w:pPr>
        <w:ind w:firstLine="709"/>
        <w:jc w:val="both"/>
      </w:pPr>
      <w:r>
        <w:rPr>
          <w:rFonts w:eastAsia="Calibri"/>
          <w:iCs/>
        </w:rPr>
        <w:t xml:space="preserve">В РСЦ госпитализируются все пациенты с ОКС с подъемом сегмента </w:t>
      </w:r>
      <w:r>
        <w:rPr>
          <w:rFonts w:eastAsia="Calibri"/>
          <w:iCs/>
          <w:lang w:val="en-US"/>
        </w:rPr>
        <w:t>ST</w:t>
      </w:r>
      <w:r>
        <w:rPr>
          <w:rFonts w:eastAsia="Calibri"/>
          <w:iCs/>
        </w:rPr>
        <w:t xml:space="preserve"> и без подъема сегмента </w:t>
      </w:r>
      <w:r>
        <w:rPr>
          <w:rFonts w:eastAsia="Calibri"/>
          <w:iCs/>
          <w:lang w:val="en-US"/>
        </w:rPr>
        <w:t>ST</w:t>
      </w:r>
      <w:r>
        <w:rPr>
          <w:rFonts w:eastAsia="Calibri"/>
          <w:iCs/>
        </w:rPr>
        <w:t xml:space="preserve"> из Ленинского района г. Астрахани и 7 районов области: Красноярский, Володарский, частично - Приволжский район, Лиманский, Енотаевский, Харабалинский и Черноярский районы. РСЦ оснащено двумя ангиографическими установками: </w:t>
      </w:r>
      <w:r>
        <w:rPr>
          <w:rFonts w:eastAsia="Calibri"/>
          <w:iCs/>
          <w:lang w:val="en-US"/>
        </w:rPr>
        <w:t>Axion</w:t>
      </w:r>
      <w:r w:rsidRPr="00ED7F17">
        <w:rPr>
          <w:rFonts w:eastAsia="Calibri"/>
          <w:iCs/>
        </w:rPr>
        <w:t xml:space="preserve"> </w:t>
      </w:r>
      <w:r>
        <w:rPr>
          <w:rFonts w:eastAsia="Calibri"/>
          <w:iCs/>
          <w:lang w:val="en-US"/>
        </w:rPr>
        <w:t>Artisd</w:t>
      </w:r>
      <w:r w:rsidRPr="00ED7F17">
        <w:rPr>
          <w:rFonts w:eastAsia="Calibri"/>
          <w:iCs/>
        </w:rPr>
        <w:t xml:space="preserve"> </w:t>
      </w:r>
      <w:r>
        <w:rPr>
          <w:rFonts w:eastAsia="Calibri"/>
          <w:iCs/>
          <w:lang w:val="en-US"/>
        </w:rPr>
        <w:t>F</w:t>
      </w:r>
      <w:r>
        <w:rPr>
          <w:rFonts w:eastAsia="Calibri"/>
          <w:iCs/>
        </w:rPr>
        <w:t xml:space="preserve"> (производитель Сименс, 2007г.) и  </w:t>
      </w:r>
      <w:r>
        <w:rPr>
          <w:rFonts w:eastAsia="Calibri"/>
          <w:iCs/>
          <w:lang w:val="en-US"/>
        </w:rPr>
        <w:t>Bransit</w:t>
      </w:r>
      <w:r w:rsidRPr="00ED7F17">
        <w:rPr>
          <w:rFonts w:eastAsia="Calibri"/>
          <w:iCs/>
        </w:rPr>
        <w:t xml:space="preserve"> </w:t>
      </w:r>
      <w:r>
        <w:rPr>
          <w:rFonts w:eastAsia="Calibri"/>
          <w:iCs/>
          <w:lang w:val="en-US"/>
        </w:rPr>
        <w:t>Alexa</w:t>
      </w:r>
      <w:r>
        <w:rPr>
          <w:rFonts w:eastAsia="Calibri"/>
          <w:iCs/>
        </w:rPr>
        <w:t xml:space="preserve"> (производитель Шимадзу, 2017г.). В ПСО ГБУЗ АО «ГКБ №3» госпитализируются пациенты с ОКС без подъема сегмента </w:t>
      </w:r>
      <w:r>
        <w:rPr>
          <w:rFonts w:eastAsia="Calibri"/>
          <w:iCs/>
          <w:lang w:val="en-US"/>
        </w:rPr>
        <w:t>ST</w:t>
      </w:r>
      <w:r>
        <w:rPr>
          <w:rFonts w:eastAsia="Calibri"/>
          <w:iCs/>
        </w:rPr>
        <w:t xml:space="preserve"> из двух районов г. Астрахани  (Трусовский район, Советский район), из четырех районов области: Камызякский, Икрянинский, частично Приволжский район. ПСО оснащено одной ангиографической установкой: </w:t>
      </w:r>
      <w:r>
        <w:rPr>
          <w:rFonts w:eastAsia="Calibri"/>
          <w:lang w:val="en-US"/>
        </w:rPr>
        <w:t>Philips</w:t>
      </w:r>
      <w:r w:rsidRPr="00ED7F17">
        <w:rPr>
          <w:rFonts w:eastAsia="Calibri"/>
        </w:rPr>
        <w:t xml:space="preserve"> </w:t>
      </w:r>
      <w:r>
        <w:rPr>
          <w:rFonts w:eastAsia="Calibri"/>
          <w:lang w:val="en-US"/>
        </w:rPr>
        <w:t>Allura</w:t>
      </w:r>
      <w:r w:rsidRPr="00ED7F17">
        <w:rPr>
          <w:rFonts w:eastAsia="Calibri"/>
        </w:rPr>
        <w:t xml:space="preserve"> </w:t>
      </w:r>
      <w:r>
        <w:rPr>
          <w:rFonts w:eastAsia="Calibri"/>
          <w:lang w:val="en-US"/>
        </w:rPr>
        <w:t>Xper</w:t>
      </w:r>
      <w:r w:rsidRPr="00ED7F17">
        <w:rPr>
          <w:rFonts w:eastAsia="Calibri"/>
        </w:rPr>
        <w:t xml:space="preserve"> </w:t>
      </w:r>
      <w:r>
        <w:rPr>
          <w:rFonts w:eastAsia="Calibri"/>
          <w:lang w:val="en-US"/>
        </w:rPr>
        <w:t>FD</w:t>
      </w:r>
      <w:r>
        <w:rPr>
          <w:rFonts w:eastAsia="Calibri"/>
        </w:rPr>
        <w:t xml:space="preserve"> -20, </w:t>
      </w:r>
      <w:r>
        <w:rPr>
          <w:rFonts w:eastAsia="Calibri"/>
          <w:iCs/>
        </w:rPr>
        <w:t>2009 года выпуска.</w:t>
      </w:r>
    </w:p>
    <w:p w:rsidR="00ED7F17" w:rsidRDefault="00ED7F17" w:rsidP="00ED7F17">
      <w:pPr>
        <w:ind w:firstLine="708"/>
        <w:jc w:val="both"/>
      </w:pPr>
      <w:r>
        <w:rPr>
          <w:rFonts w:eastAsia="Calibri"/>
          <w:iCs/>
        </w:rPr>
        <w:t xml:space="preserve">С марта 2017 года в маршрутизацию пациентов с ОКС включен ФГБУ «ФЦССХ» МЗ РФ (г. Астрахань), который обслуживает Кировский район областного центра. </w:t>
      </w:r>
    </w:p>
    <w:p w:rsidR="00ED7F17" w:rsidRDefault="00ED7F17" w:rsidP="00ED7F17">
      <w:pPr>
        <w:ind w:firstLine="708"/>
        <w:jc w:val="both"/>
      </w:pPr>
      <w:r>
        <w:rPr>
          <w:rFonts w:eastAsia="Calibri"/>
          <w:iCs/>
        </w:rPr>
        <w:t xml:space="preserve">Для северных районов области организовано первичное сосудистое отделение на базе ГБУЗ АО «Ахтубинской РБ», в составе которого функционирует отделение неотложной кардиологии на 10 коек (без ангиографической установки). Учитывая рекомендации специалистов ФГБУ «НМИЦ кардиологии» Минздрава России во </w:t>
      </w:r>
      <w:r>
        <w:rPr>
          <w:rFonts w:eastAsia="Calibri"/>
          <w:iCs/>
          <w:lang w:val="en-US"/>
        </w:rPr>
        <w:t>II</w:t>
      </w:r>
      <w:r>
        <w:rPr>
          <w:rFonts w:eastAsia="Calibri"/>
          <w:iCs/>
        </w:rPr>
        <w:t xml:space="preserve"> квартале 2018 года открыты пять профильных кардиологических коек на базе ГБУЗ АО «Харабалинская РБ», и в апреле 2019 года открыты аналогичные койки на базе ГБУЗ АО «Енотаевская РБ». </w:t>
      </w:r>
    </w:p>
    <w:p w:rsidR="00ED7F17" w:rsidRDefault="00ED7F17" w:rsidP="00ED7F17">
      <w:pPr>
        <w:ind w:firstLine="708"/>
        <w:jc w:val="both"/>
      </w:pPr>
      <w:r>
        <w:rPr>
          <w:rFonts w:eastAsia="Calibri"/>
          <w:iCs/>
        </w:rPr>
        <w:t>Показатель госпитализации пациентов с ОКС с подъемом сегмента ST в срок менее двух часов от начала болевого синдрома по Астраханской области составил в 2018 году – 23,7% (РФ – 20,7%).</w:t>
      </w:r>
    </w:p>
    <w:p w:rsidR="00ED7F17" w:rsidRDefault="00ED7F17" w:rsidP="00ED7F17">
      <w:pPr>
        <w:ind w:firstLine="708"/>
        <w:jc w:val="both"/>
      </w:pPr>
      <w:r>
        <w:rPr>
          <w:rFonts w:eastAsia="Calibri"/>
          <w:iCs/>
        </w:rPr>
        <w:t>При необходимости пациенты из первичных сосудистых отделений переводятся в региональный сосудистый центр на лечение. Перевод пациентов из ПСО в РСЦ осуществляется бригадами скорой медицинской помощи ГБУЗ АО «Центр медицинской катастроф и скорой медицинской помощи» и бригадами скорой медицинской помощи ГБУЗ АО «Ахтубинская районная больница». Трудностей с переводом, в том числе ограничений, связанных с особенностями тарифов обязательного медицинского страхования нет. Однако, при переводе из ПСО Ахтубинского района, территориально удаленного от регионального центра, время транспортировки пациентов занимает 4-4,5 часа. В связи с чем, в 2020 году планируется организация в регионе службы санавиации.</w:t>
      </w:r>
    </w:p>
    <w:p w:rsidR="00ED7F17" w:rsidRDefault="00ED7F17" w:rsidP="00ED7F17">
      <w:pPr>
        <w:ind w:firstLine="708"/>
        <w:jc w:val="both"/>
      </w:pPr>
      <w:r>
        <w:rPr>
          <w:rFonts w:eastAsia="Calibri"/>
          <w:iCs/>
        </w:rPr>
        <w:t xml:space="preserve">Пациенты с заболеваниями сердечно-сосудистой системы, нуждающиеся в дальнейшей высокотехнологичной помощи, переводятся в ФГБУ «ФЦССХ» Минздрава РФ (г. Астрахань) для проведения кардиохирургических операций. Так, в 2018 году в ФГБУ «ФЦССХ» Минздрава РФ проведено 98 стентирований коронарных артерий при ОКС, а в 2017 году - 80. </w:t>
      </w:r>
    </w:p>
    <w:p w:rsidR="00ED7F17" w:rsidRDefault="00ED7F17" w:rsidP="00ED7F17">
      <w:pPr>
        <w:jc w:val="center"/>
        <w:rPr>
          <w:rFonts w:eastAsia="Calibri"/>
          <w:b/>
          <w:iCs/>
        </w:rPr>
      </w:pPr>
    </w:p>
    <w:p w:rsidR="00ED7F17" w:rsidRDefault="00ED7F17" w:rsidP="00ED7F17">
      <w:pPr>
        <w:jc w:val="center"/>
        <w:rPr>
          <w:rFonts w:eastAsia="Calibri"/>
          <w:b/>
          <w:iCs/>
        </w:rPr>
      </w:pPr>
    </w:p>
    <w:p w:rsidR="00ED7F17" w:rsidRDefault="00ED7F17" w:rsidP="00ED7F17">
      <w:pPr>
        <w:jc w:val="center"/>
        <w:rPr>
          <w:rFonts w:eastAsia="Calibri"/>
          <w:b/>
          <w:iCs/>
        </w:rPr>
      </w:pPr>
    </w:p>
    <w:p w:rsidR="00ED7F17" w:rsidRDefault="00ED7F17" w:rsidP="00ED7F17">
      <w:pPr>
        <w:jc w:val="center"/>
        <w:rPr>
          <w:rFonts w:eastAsia="Calibri"/>
          <w:b/>
          <w:iCs/>
        </w:rPr>
      </w:pPr>
    </w:p>
    <w:p w:rsidR="00ED7F17" w:rsidRDefault="00ED7F17" w:rsidP="00ED7F17">
      <w:pPr>
        <w:jc w:val="center"/>
        <w:rPr>
          <w:rFonts w:eastAsia="Calibri"/>
          <w:b/>
          <w:iCs/>
        </w:rPr>
      </w:pPr>
    </w:p>
    <w:p w:rsidR="00ED7F17" w:rsidRDefault="00ED7F17" w:rsidP="00ED7F17">
      <w:pPr>
        <w:jc w:val="center"/>
        <w:rPr>
          <w:rFonts w:eastAsia="Calibri"/>
          <w:b/>
          <w:iCs/>
        </w:rPr>
      </w:pPr>
    </w:p>
    <w:p w:rsidR="00ED7F17" w:rsidRDefault="00ED7F17" w:rsidP="00ED7F17">
      <w:pPr>
        <w:jc w:val="center"/>
        <w:rPr>
          <w:rFonts w:ascii="Arial" w:eastAsia="Arial" w:hAnsi="Arial" w:cs="Arial"/>
          <w:sz w:val="22"/>
          <w:szCs w:val="22"/>
        </w:rPr>
      </w:pPr>
      <w:r>
        <w:rPr>
          <w:rFonts w:eastAsia="Calibri"/>
          <w:b/>
          <w:iCs/>
        </w:rPr>
        <w:t>Схема маршрутизации пациентов с ОКС</w:t>
      </w:r>
    </w:p>
    <w:p w:rsidR="00ED7F17" w:rsidRDefault="00ED7F17" w:rsidP="00ED7F17">
      <w:pPr>
        <w:ind w:firstLine="708"/>
        <w:jc w:val="both"/>
        <w:rPr>
          <w:rFonts w:eastAsia="Calibri"/>
          <w:b/>
          <w:iCs/>
          <w:szCs w:val="28"/>
        </w:rPr>
      </w:pPr>
    </w:p>
    <w:p w:rsidR="00ED7F17" w:rsidRDefault="00ED7F17" w:rsidP="00ED7F17">
      <w:pPr>
        <w:ind w:firstLine="708"/>
        <w:jc w:val="both"/>
        <w:rPr>
          <w:rFonts w:eastAsia="Calibri"/>
          <w:b/>
          <w:iCs/>
          <w:szCs w:val="28"/>
        </w:rPr>
      </w:pPr>
    </w:p>
    <w:p w:rsidR="00ED7F17" w:rsidRDefault="00ED7F17" w:rsidP="00ED7F17">
      <w:pPr>
        <w:ind w:firstLine="708"/>
        <w:jc w:val="both"/>
        <w:rPr>
          <w:rFonts w:eastAsia="Calibri"/>
          <w:b/>
          <w:iCs/>
          <w:szCs w:val="28"/>
        </w:rPr>
      </w:pPr>
    </w:p>
    <w:p w:rsidR="00ED7F17" w:rsidRDefault="00ED7F17" w:rsidP="00ED7F17">
      <w:pPr>
        <w:ind w:firstLine="708"/>
        <w:jc w:val="both"/>
        <w:rPr>
          <w:rFonts w:ascii="Arial" w:eastAsia="Arial" w:hAnsi="Arial" w:cs="Arial"/>
          <w:sz w:val="22"/>
          <w:szCs w:val="22"/>
        </w:rPr>
      </w:pPr>
      <w:r>
        <w:rPr>
          <w:noProof/>
          <w:color w:val="000000"/>
          <w:sz w:val="20"/>
          <w:szCs w:val="20"/>
          <w:lang w:eastAsia="ru-RU"/>
        </w:rPr>
        <w:drawing>
          <wp:inline distT="0" distB="0" distL="0" distR="0">
            <wp:extent cx="15240" cy="762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62" cstate="print">
                      <a:extLst>
                        <a:ext uri="{28A0092B-C50C-407E-A947-70E740481C1C}">
                          <a14:useLocalDpi xmlns:a14="http://schemas.microsoft.com/office/drawing/2010/main" val="0"/>
                        </a:ext>
                      </a:extLst>
                    </a:blip>
                    <a:srcRect l="-17" t="-12" r="-17" b="-12"/>
                    <a:stretch>
                      <a:fillRect/>
                    </a:stretch>
                  </pic:blipFill>
                  <pic:spPr bwMode="auto">
                    <a:xfrm>
                      <a:off x="0" y="0"/>
                      <a:ext cx="15240" cy="7620"/>
                    </a:xfrm>
                    <a:prstGeom prst="rect">
                      <a:avLst/>
                    </a:prstGeom>
                    <a:solidFill>
                      <a:srgbClr val="FFFFFF"/>
                    </a:solidFill>
                    <a:ln>
                      <a:noFill/>
                    </a:ln>
                  </pic:spPr>
                </pic:pic>
              </a:graphicData>
            </a:graphic>
          </wp:inline>
        </w:drawing>
      </w:r>
    </w:p>
    <w:p w:rsidR="00ED7F17" w:rsidRDefault="00ED7F17" w:rsidP="00ED7F17">
      <w:pPr>
        <w:ind w:firstLine="142"/>
        <w:jc w:val="both"/>
        <w:rPr>
          <w:rFonts w:eastAsia="Calibri"/>
          <w:b/>
          <w:iCs/>
        </w:rPr>
      </w:pPr>
      <w:r>
        <w:rPr>
          <w:rFonts w:eastAsia="Calibri"/>
          <w:iCs/>
          <w:noProof/>
          <w:szCs w:val="28"/>
          <w:lang w:eastAsia="ru-RU"/>
        </w:rPr>
        <w:drawing>
          <wp:inline distT="0" distB="0" distL="0" distR="0">
            <wp:extent cx="5836920" cy="823722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63" cstate="print">
                      <a:extLst>
                        <a:ext uri="{28A0092B-C50C-407E-A947-70E740481C1C}">
                          <a14:useLocalDpi xmlns:a14="http://schemas.microsoft.com/office/drawing/2010/main" val="0"/>
                        </a:ext>
                      </a:extLst>
                    </a:blip>
                    <a:srcRect l="-17" t="-12" r="-17" b="-12"/>
                    <a:stretch>
                      <a:fillRect/>
                    </a:stretch>
                  </pic:blipFill>
                  <pic:spPr bwMode="auto">
                    <a:xfrm>
                      <a:off x="0" y="0"/>
                      <a:ext cx="5836920" cy="8237220"/>
                    </a:xfrm>
                    <a:prstGeom prst="rect">
                      <a:avLst/>
                    </a:prstGeom>
                    <a:solidFill>
                      <a:srgbClr val="FFFFFF"/>
                    </a:solidFill>
                    <a:ln>
                      <a:noFill/>
                    </a:ln>
                  </pic:spPr>
                </pic:pic>
              </a:graphicData>
            </a:graphic>
          </wp:inline>
        </w:drawing>
      </w:r>
    </w:p>
    <w:p w:rsidR="00ED7F17" w:rsidRDefault="00ED7F17" w:rsidP="00ED7F17">
      <w:pPr>
        <w:jc w:val="center"/>
        <w:rPr>
          <w:rFonts w:eastAsia="Calibri"/>
          <w:b/>
          <w:iCs/>
        </w:rPr>
      </w:pPr>
    </w:p>
    <w:p w:rsidR="00ED7F17" w:rsidRDefault="00ED7F17" w:rsidP="00ED7F17">
      <w:pPr>
        <w:jc w:val="center"/>
        <w:rPr>
          <w:rFonts w:eastAsia="Calibri"/>
          <w:b/>
          <w:iCs/>
        </w:rPr>
      </w:pPr>
    </w:p>
    <w:p w:rsidR="00ED7F17" w:rsidRDefault="00ED7F17" w:rsidP="00ED7F17">
      <w:pPr>
        <w:jc w:val="center"/>
        <w:rPr>
          <w:rFonts w:eastAsia="Calibri"/>
          <w:b/>
          <w:iCs/>
        </w:rPr>
      </w:pPr>
    </w:p>
    <w:p w:rsidR="00ED7F17" w:rsidRDefault="00ED7F17" w:rsidP="00ED7F17">
      <w:pPr>
        <w:jc w:val="center"/>
        <w:rPr>
          <w:rFonts w:eastAsia="Calibri"/>
          <w:b/>
          <w:iCs/>
        </w:rPr>
      </w:pPr>
    </w:p>
    <w:p w:rsidR="00ED7F17" w:rsidRDefault="00ED7F17" w:rsidP="00ED7F17">
      <w:pPr>
        <w:jc w:val="center"/>
        <w:rPr>
          <w:rFonts w:ascii="Arial" w:eastAsia="Arial" w:hAnsi="Arial" w:cs="Arial"/>
          <w:sz w:val="22"/>
          <w:szCs w:val="22"/>
        </w:rPr>
      </w:pPr>
      <w:r>
        <w:rPr>
          <w:rFonts w:eastAsia="Calibri"/>
          <w:b/>
          <w:iCs/>
        </w:rPr>
        <w:t>Схема маршрутизации пациентов с ОКС</w:t>
      </w:r>
    </w:p>
    <w:p w:rsidR="00ED7F17" w:rsidRDefault="00ED7F17" w:rsidP="00ED7F17">
      <w:pPr>
        <w:jc w:val="center"/>
        <w:rPr>
          <w:rFonts w:eastAsia="Calibri"/>
          <w:b/>
          <w:iCs/>
        </w:rPr>
      </w:pPr>
    </w:p>
    <w:p w:rsidR="00ED7F17" w:rsidRDefault="00ED7F17" w:rsidP="00ED7F17">
      <w:pPr>
        <w:jc w:val="center"/>
        <w:rPr>
          <w:rFonts w:eastAsia="Calibri"/>
          <w:b/>
          <w:iCs/>
        </w:rPr>
      </w:pPr>
    </w:p>
    <w:p w:rsidR="00ED7F17" w:rsidRDefault="00ED7F17" w:rsidP="00ED7F17">
      <w:pPr>
        <w:jc w:val="center"/>
        <w:rPr>
          <w:rFonts w:eastAsia="Calibri"/>
          <w:b/>
          <w:iCs/>
        </w:rPr>
      </w:pPr>
    </w:p>
    <w:p w:rsidR="00ED7F17" w:rsidRDefault="00ED7F17" w:rsidP="00ED7F17">
      <w:pPr>
        <w:jc w:val="both"/>
        <w:rPr>
          <w:rFonts w:ascii="Arial" w:eastAsia="Arial" w:hAnsi="Arial" w:cs="Arial"/>
          <w:sz w:val="22"/>
          <w:szCs w:val="22"/>
        </w:rPr>
      </w:pPr>
      <w:r>
        <w:rPr>
          <w:rFonts w:eastAsia="Calibri"/>
          <w:iCs/>
          <w:noProof/>
          <w:szCs w:val="28"/>
          <w:lang w:eastAsia="ru-RU"/>
        </w:rPr>
        <w:drawing>
          <wp:inline distT="0" distB="0" distL="0" distR="0">
            <wp:extent cx="5715000" cy="806196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64" cstate="print">
                      <a:extLst>
                        <a:ext uri="{28A0092B-C50C-407E-A947-70E740481C1C}">
                          <a14:useLocalDpi xmlns:a14="http://schemas.microsoft.com/office/drawing/2010/main" val="0"/>
                        </a:ext>
                      </a:extLst>
                    </a:blip>
                    <a:srcRect l="-17" t="-12" r="-17" b="-12"/>
                    <a:stretch>
                      <a:fillRect/>
                    </a:stretch>
                  </pic:blipFill>
                  <pic:spPr bwMode="auto">
                    <a:xfrm>
                      <a:off x="0" y="0"/>
                      <a:ext cx="5715000" cy="8061960"/>
                    </a:xfrm>
                    <a:prstGeom prst="rect">
                      <a:avLst/>
                    </a:prstGeom>
                    <a:solidFill>
                      <a:srgbClr val="FFFFFF"/>
                    </a:solidFill>
                    <a:ln>
                      <a:noFill/>
                    </a:ln>
                  </pic:spPr>
                </pic:pic>
              </a:graphicData>
            </a:graphic>
          </wp:inline>
        </w:drawing>
      </w:r>
    </w:p>
    <w:p w:rsidR="00ED7F17" w:rsidRDefault="00ED7F17" w:rsidP="00ED7F17">
      <w:pPr>
        <w:jc w:val="both"/>
      </w:pPr>
      <w:r>
        <w:rPr>
          <w:noProof/>
          <w:color w:val="000000"/>
          <w:sz w:val="20"/>
          <w:szCs w:val="20"/>
          <w:lang w:eastAsia="ru-RU"/>
        </w:rPr>
        <w:drawing>
          <wp:inline distT="0" distB="0" distL="0" distR="0">
            <wp:extent cx="15240" cy="762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65" cstate="print">
                      <a:extLst>
                        <a:ext uri="{28A0092B-C50C-407E-A947-70E740481C1C}">
                          <a14:useLocalDpi xmlns:a14="http://schemas.microsoft.com/office/drawing/2010/main" val="0"/>
                        </a:ext>
                      </a:extLst>
                    </a:blip>
                    <a:srcRect l="-17" t="-12" r="-17" b="-12"/>
                    <a:stretch>
                      <a:fillRect/>
                    </a:stretch>
                  </pic:blipFill>
                  <pic:spPr bwMode="auto">
                    <a:xfrm>
                      <a:off x="0" y="0"/>
                      <a:ext cx="15240" cy="7620"/>
                    </a:xfrm>
                    <a:prstGeom prst="rect">
                      <a:avLst/>
                    </a:prstGeom>
                    <a:solidFill>
                      <a:srgbClr val="FFFFFF"/>
                    </a:solidFill>
                    <a:ln>
                      <a:noFill/>
                    </a:ln>
                  </pic:spPr>
                </pic:pic>
              </a:graphicData>
            </a:graphic>
          </wp:inline>
        </w:drawing>
      </w:r>
    </w:p>
    <w:p w:rsidR="00ED7F17" w:rsidRDefault="00ED7F17" w:rsidP="00ED7F17">
      <w:pPr>
        <w:jc w:val="both"/>
      </w:pPr>
      <w:r>
        <w:rPr>
          <w:noProof/>
          <w:color w:val="000000"/>
          <w:sz w:val="20"/>
          <w:szCs w:val="20"/>
          <w:lang w:eastAsia="ru-RU"/>
        </w:rPr>
        <w:drawing>
          <wp:inline distT="0" distB="0" distL="0" distR="0">
            <wp:extent cx="15240" cy="762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65" cstate="print">
                      <a:extLst>
                        <a:ext uri="{28A0092B-C50C-407E-A947-70E740481C1C}">
                          <a14:useLocalDpi xmlns:a14="http://schemas.microsoft.com/office/drawing/2010/main" val="0"/>
                        </a:ext>
                      </a:extLst>
                    </a:blip>
                    <a:srcRect l="-17" t="-12" r="-17" b="-12"/>
                    <a:stretch>
                      <a:fillRect/>
                    </a:stretch>
                  </pic:blipFill>
                  <pic:spPr bwMode="auto">
                    <a:xfrm>
                      <a:off x="0" y="0"/>
                      <a:ext cx="15240" cy="7620"/>
                    </a:xfrm>
                    <a:prstGeom prst="rect">
                      <a:avLst/>
                    </a:prstGeom>
                    <a:solidFill>
                      <a:srgbClr val="FFFFFF"/>
                    </a:solidFill>
                    <a:ln>
                      <a:noFill/>
                    </a:ln>
                  </pic:spPr>
                </pic:pic>
              </a:graphicData>
            </a:graphic>
          </wp:inline>
        </w:drawing>
      </w:r>
    </w:p>
    <w:p w:rsidR="00ED7F17" w:rsidRDefault="00ED7F17" w:rsidP="00ED7F17">
      <w:pPr>
        <w:jc w:val="both"/>
        <w:rPr>
          <w:rFonts w:eastAsia="Calibri"/>
          <w:b/>
          <w:iCs/>
          <w:color w:val="000000"/>
          <w:lang w:val="x-none"/>
        </w:rPr>
      </w:pPr>
      <w:r>
        <w:rPr>
          <w:noProof/>
          <w:color w:val="000000"/>
          <w:sz w:val="20"/>
          <w:szCs w:val="20"/>
          <w:lang w:eastAsia="ru-RU"/>
        </w:rPr>
        <w:drawing>
          <wp:inline distT="0" distB="0" distL="0" distR="0">
            <wp:extent cx="15240" cy="762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65" cstate="print">
                      <a:extLst>
                        <a:ext uri="{28A0092B-C50C-407E-A947-70E740481C1C}">
                          <a14:useLocalDpi xmlns:a14="http://schemas.microsoft.com/office/drawing/2010/main" val="0"/>
                        </a:ext>
                      </a:extLst>
                    </a:blip>
                    <a:srcRect l="-17" t="-12" r="-17" b="-12"/>
                    <a:stretch>
                      <a:fillRect/>
                    </a:stretch>
                  </pic:blipFill>
                  <pic:spPr bwMode="auto">
                    <a:xfrm>
                      <a:off x="0" y="0"/>
                      <a:ext cx="15240" cy="7620"/>
                    </a:xfrm>
                    <a:prstGeom prst="rect">
                      <a:avLst/>
                    </a:prstGeom>
                    <a:solidFill>
                      <a:srgbClr val="FFFFFF"/>
                    </a:solidFill>
                    <a:ln>
                      <a:noFill/>
                    </a:ln>
                  </pic:spPr>
                </pic:pic>
              </a:graphicData>
            </a:graphic>
          </wp:inline>
        </w:drawing>
      </w:r>
    </w:p>
    <w:p w:rsidR="00ED7F17" w:rsidRDefault="00ED7F17" w:rsidP="00ED7F17">
      <w:pPr>
        <w:jc w:val="center"/>
        <w:rPr>
          <w:rFonts w:eastAsia="Calibri"/>
          <w:b/>
          <w:iCs/>
          <w:color w:val="000000"/>
          <w:lang w:val="x-none"/>
        </w:rPr>
      </w:pPr>
    </w:p>
    <w:p w:rsidR="00ED7F17" w:rsidRDefault="00ED7F17" w:rsidP="00ED7F17">
      <w:pPr>
        <w:jc w:val="center"/>
        <w:rPr>
          <w:rFonts w:ascii="Arial" w:eastAsia="Arial" w:hAnsi="Arial" w:cs="Arial"/>
          <w:sz w:val="22"/>
          <w:szCs w:val="22"/>
        </w:rPr>
      </w:pPr>
      <w:r>
        <w:rPr>
          <w:rFonts w:eastAsia="Calibri"/>
          <w:b/>
          <w:iCs/>
        </w:rPr>
        <w:t>Маршрутизация пациентов с ОНМК</w:t>
      </w:r>
    </w:p>
    <w:p w:rsidR="00ED7F17" w:rsidRDefault="00ED7F17" w:rsidP="00ED7F17">
      <w:pPr>
        <w:jc w:val="center"/>
        <w:rPr>
          <w:rFonts w:eastAsia="Calibri"/>
          <w:b/>
          <w:iCs/>
        </w:rPr>
      </w:pPr>
    </w:p>
    <w:p w:rsidR="00ED7F17" w:rsidRDefault="00ED7F17" w:rsidP="00ED7F17">
      <w:pPr>
        <w:widowControl w:val="0"/>
        <w:suppressAutoHyphens w:val="0"/>
        <w:ind w:firstLine="540"/>
        <w:jc w:val="both"/>
        <w:rPr>
          <w:rFonts w:ascii="Arial" w:eastAsia="Arial" w:hAnsi="Arial" w:cs="Arial"/>
          <w:sz w:val="22"/>
          <w:szCs w:val="22"/>
        </w:rPr>
      </w:pPr>
      <w:r>
        <w:rPr>
          <w:rFonts w:eastAsia="SimSun"/>
          <w:sz w:val="28"/>
          <w:szCs w:val="28"/>
          <w:lang w:bidi="hi-IN"/>
        </w:rPr>
        <w:t>Маршрутизация пациентов с ОНМК осуществляется в соответствии с распоряжением минздрава Астраханской области от 28.06.2013 № 540р «О реализации мероприятий, направленных на совершенствование оказания медицинской помощи больным с сосудистыми заболеваниями на территории Астраханской области».</w:t>
      </w:r>
    </w:p>
    <w:p w:rsidR="00ED7F17" w:rsidRDefault="00ED7F17" w:rsidP="00ED7F17">
      <w:pPr>
        <w:widowControl w:val="0"/>
        <w:suppressAutoHyphens w:val="0"/>
        <w:ind w:firstLine="540"/>
        <w:jc w:val="both"/>
      </w:pPr>
      <w:r>
        <w:rPr>
          <w:rFonts w:eastAsia="SimSun"/>
          <w:sz w:val="28"/>
          <w:szCs w:val="28"/>
          <w:lang w:bidi="hi-IN"/>
        </w:rPr>
        <w:t>Согласно утвержденной маршрутизации к региональному сосудистому центру ГБУЗ АО АМОКБ прикреплено взрослое население следующих муниципальных образований Астраханской области и города Астрахани:  Красноярский район, Володарский район, Приволжский район (с. Началово, п. Новоначалово, п. Начало, п. Пойменный, с. Бирюковка, с. Килинчи, с. Растопуловка, с. Три Протока), Наримановский район (с. Тулугановка, п. Рычанский, п. Караагаш, п. Сенной, с. Разночиновка, с. Н. Лебяжье, с. Барановка, с. Петропавловка),  Харабалинский район, Лиманский район, Енотаевский район, Черноярский район и Ленинский район г. Астрахань.</w:t>
      </w:r>
    </w:p>
    <w:p w:rsidR="00ED7F17" w:rsidRDefault="00ED7F17" w:rsidP="00ED7F17">
      <w:pPr>
        <w:widowControl w:val="0"/>
        <w:suppressAutoHyphens w:val="0"/>
        <w:ind w:firstLine="540"/>
        <w:jc w:val="both"/>
      </w:pPr>
      <w:r>
        <w:rPr>
          <w:rFonts w:eastAsia="SimSun"/>
          <w:sz w:val="28"/>
          <w:szCs w:val="28"/>
          <w:lang w:bidi="hi-IN"/>
        </w:rPr>
        <w:t>С учетом географической особенности Ахтубинского района Астраханской области первичное сосудистое отделение ГБУЗ «Ахтубинская РБ» оказывает медицинскую помощь пациентам с ОНМК, проживающим на территории Ахтубинского района, включая ЗАТО Знаменск.</w:t>
      </w:r>
    </w:p>
    <w:p w:rsidR="00ED7F17" w:rsidRDefault="00ED7F17" w:rsidP="00ED7F17">
      <w:pPr>
        <w:widowControl w:val="0"/>
        <w:suppressAutoHyphens w:val="0"/>
        <w:ind w:firstLine="540"/>
        <w:jc w:val="both"/>
      </w:pPr>
      <w:r>
        <w:rPr>
          <w:rFonts w:eastAsia="SimSun"/>
          <w:sz w:val="28"/>
          <w:szCs w:val="28"/>
          <w:lang w:bidi="hi-IN"/>
        </w:rPr>
        <w:t>Южные районы области такие как Икряниский район, Камызякский район, часть Приволжского района  (с. Татарская Башмаковка, п. Ассадулаево, с. Осыпной Бугор, с. Яксатово, с. Фунтово 1, с. Фунтово 2, п. Кирпичного завода, с. Евпраксино, с. Кара), и юго-западная часть Наримановского района ( г. Нариманов, п. Волжский, п. Буруны, с. Линейное, с. Старокучергановка, с. Курченко, с. Николаевка), Кировский, Советский и Трусовские районы города Астрахани прикреплены к первичному сосудистому отделению ГБУЗ АО «Городская клиническая больница №3 им. С.М. Кирова».</w:t>
      </w:r>
    </w:p>
    <w:p w:rsidR="00ED7F17" w:rsidRDefault="00ED7F17" w:rsidP="00ED7F17">
      <w:pPr>
        <w:jc w:val="center"/>
        <w:rPr>
          <w:rFonts w:eastAsia="Calibri"/>
          <w:b/>
          <w:iCs/>
          <w:lang w:bidi="hi-IN"/>
        </w:rPr>
      </w:pPr>
    </w:p>
    <w:p w:rsidR="00ED7F17" w:rsidRDefault="00ED7F17" w:rsidP="00ED7F17">
      <w:pPr>
        <w:jc w:val="center"/>
        <w:rPr>
          <w:rFonts w:eastAsia="Calibri"/>
          <w:b/>
          <w:iCs/>
          <w:lang w:bidi="hi-IN"/>
        </w:rPr>
      </w:pPr>
    </w:p>
    <w:p w:rsidR="00ED7F17" w:rsidRDefault="00ED7F17" w:rsidP="00ED7F17">
      <w:pPr>
        <w:jc w:val="center"/>
        <w:rPr>
          <w:rFonts w:eastAsia="Calibri"/>
          <w:b/>
          <w:iCs/>
          <w:lang w:bidi="hi-IN"/>
        </w:rPr>
      </w:pPr>
    </w:p>
    <w:p w:rsidR="00ED7F17" w:rsidRDefault="00ED7F17" w:rsidP="00ED7F17">
      <w:pPr>
        <w:jc w:val="center"/>
        <w:rPr>
          <w:rFonts w:eastAsia="Calibri"/>
          <w:b/>
          <w:iCs/>
        </w:rPr>
      </w:pPr>
    </w:p>
    <w:p w:rsidR="00ED7F17" w:rsidRDefault="00ED7F17" w:rsidP="00ED7F17">
      <w:pPr>
        <w:jc w:val="center"/>
        <w:rPr>
          <w:rFonts w:eastAsia="Calibri"/>
          <w:b/>
          <w:iCs/>
        </w:rPr>
      </w:pPr>
    </w:p>
    <w:p w:rsidR="00ED7F17" w:rsidRDefault="00ED7F17" w:rsidP="00ED7F17">
      <w:pPr>
        <w:jc w:val="center"/>
        <w:rPr>
          <w:rFonts w:eastAsia="Calibri"/>
          <w:b/>
          <w:iCs/>
        </w:rPr>
      </w:pPr>
    </w:p>
    <w:p w:rsidR="00ED7F17" w:rsidRDefault="00ED7F17" w:rsidP="00ED7F17">
      <w:pPr>
        <w:jc w:val="center"/>
        <w:rPr>
          <w:rFonts w:eastAsia="Calibri"/>
          <w:b/>
          <w:iCs/>
        </w:rPr>
      </w:pPr>
    </w:p>
    <w:p w:rsidR="00ED7F17" w:rsidRDefault="00ED7F17" w:rsidP="00ED7F17">
      <w:pPr>
        <w:jc w:val="center"/>
        <w:rPr>
          <w:rFonts w:eastAsia="Calibri"/>
          <w:b/>
          <w:iCs/>
        </w:rPr>
      </w:pPr>
    </w:p>
    <w:p w:rsidR="00ED7F17" w:rsidRDefault="00ED7F17" w:rsidP="00ED7F17">
      <w:pPr>
        <w:jc w:val="center"/>
        <w:rPr>
          <w:rFonts w:eastAsia="Calibri"/>
          <w:b/>
          <w:iCs/>
        </w:rPr>
      </w:pPr>
    </w:p>
    <w:p w:rsidR="00ED7F17" w:rsidRDefault="00ED7F17" w:rsidP="00ED7F17">
      <w:pPr>
        <w:jc w:val="center"/>
        <w:rPr>
          <w:rFonts w:eastAsia="Calibri"/>
          <w:b/>
          <w:iCs/>
        </w:rPr>
      </w:pPr>
    </w:p>
    <w:p w:rsidR="00ED7F17" w:rsidRDefault="00ED7F17" w:rsidP="00ED7F17">
      <w:pPr>
        <w:jc w:val="center"/>
        <w:rPr>
          <w:rFonts w:eastAsia="Calibri"/>
          <w:b/>
          <w:iCs/>
        </w:rPr>
      </w:pPr>
    </w:p>
    <w:p w:rsidR="00ED7F17" w:rsidRDefault="00ED7F17" w:rsidP="00ED7F17">
      <w:pPr>
        <w:jc w:val="center"/>
        <w:rPr>
          <w:rFonts w:eastAsia="Calibri"/>
          <w:b/>
          <w:iCs/>
        </w:rPr>
      </w:pPr>
    </w:p>
    <w:p w:rsidR="00ED7F17" w:rsidRDefault="00ED7F17" w:rsidP="00ED7F17">
      <w:pPr>
        <w:jc w:val="center"/>
        <w:rPr>
          <w:rFonts w:eastAsia="Calibri"/>
          <w:b/>
          <w:iCs/>
        </w:rPr>
      </w:pPr>
    </w:p>
    <w:p w:rsidR="00ED7F17" w:rsidRDefault="00ED7F17" w:rsidP="00ED7F17">
      <w:pPr>
        <w:jc w:val="center"/>
        <w:rPr>
          <w:rFonts w:eastAsia="Calibri"/>
          <w:b/>
          <w:iCs/>
        </w:rPr>
      </w:pPr>
    </w:p>
    <w:p w:rsidR="00ED7F17" w:rsidRDefault="00ED7F17" w:rsidP="00ED7F17">
      <w:pPr>
        <w:jc w:val="center"/>
        <w:rPr>
          <w:rFonts w:ascii="Arial" w:eastAsia="Arial" w:hAnsi="Arial" w:cs="Arial"/>
          <w:sz w:val="22"/>
          <w:szCs w:val="22"/>
        </w:rPr>
      </w:pPr>
      <w:r>
        <w:rPr>
          <w:rFonts w:eastAsia="Calibri"/>
          <w:b/>
          <w:iCs/>
        </w:rPr>
        <w:t>Схема маршрутизации пациентов с ОНМК</w:t>
      </w:r>
    </w:p>
    <w:p w:rsidR="00ED7F17" w:rsidRDefault="00ED7F17" w:rsidP="00ED7F17">
      <w:pPr>
        <w:jc w:val="center"/>
        <w:rPr>
          <w:rFonts w:eastAsia="Calibri"/>
          <w:b/>
          <w:iCs/>
        </w:rPr>
      </w:pPr>
    </w:p>
    <w:p w:rsidR="00ED7F17" w:rsidRDefault="00ED7F17" w:rsidP="00ED7F17">
      <w:pPr>
        <w:jc w:val="both"/>
        <w:rPr>
          <w:rFonts w:eastAsia="ArialMT"/>
          <w:color w:val="000000"/>
          <w:lang w:val="x-none"/>
        </w:rPr>
      </w:pPr>
      <w:r>
        <w:rPr>
          <w:rFonts w:eastAsia="ArialMT"/>
          <w:noProof/>
          <w:color w:val="000000"/>
          <w:lang w:eastAsia="ru-RU"/>
        </w:rPr>
        <w:drawing>
          <wp:inline distT="0" distB="0" distL="0" distR="0">
            <wp:extent cx="6019800" cy="851154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66" cstate="print">
                      <a:extLst>
                        <a:ext uri="{28A0092B-C50C-407E-A947-70E740481C1C}">
                          <a14:useLocalDpi xmlns:a14="http://schemas.microsoft.com/office/drawing/2010/main" val="0"/>
                        </a:ext>
                      </a:extLst>
                    </a:blip>
                    <a:srcRect l="-17" t="-12" r="-17" b="-12"/>
                    <a:stretch>
                      <a:fillRect/>
                    </a:stretch>
                  </pic:blipFill>
                  <pic:spPr bwMode="auto">
                    <a:xfrm>
                      <a:off x="0" y="0"/>
                      <a:ext cx="6019800" cy="8511540"/>
                    </a:xfrm>
                    <a:prstGeom prst="rect">
                      <a:avLst/>
                    </a:prstGeom>
                    <a:solidFill>
                      <a:srgbClr val="FFFFFF"/>
                    </a:solidFill>
                    <a:ln>
                      <a:noFill/>
                    </a:ln>
                  </pic:spPr>
                </pic:pic>
              </a:graphicData>
            </a:graphic>
          </wp:inline>
        </w:drawing>
      </w:r>
    </w:p>
    <w:p w:rsidR="00ED7F17" w:rsidRDefault="00ED7F17" w:rsidP="00ED7F17">
      <w:pPr>
        <w:jc w:val="both"/>
        <w:rPr>
          <w:rFonts w:eastAsia="ArialMT"/>
          <w:color w:val="000000"/>
          <w:lang w:val="x-none"/>
        </w:rPr>
      </w:pPr>
    </w:p>
    <w:p w:rsidR="00ED7F17" w:rsidRDefault="00ED7F17" w:rsidP="00ED7F17">
      <w:pPr>
        <w:ind w:firstLine="709"/>
        <w:jc w:val="both"/>
        <w:rPr>
          <w:rFonts w:ascii="Arial" w:eastAsia="Arial" w:hAnsi="Arial" w:cs="Arial"/>
          <w:sz w:val="22"/>
          <w:szCs w:val="22"/>
        </w:rPr>
      </w:pPr>
      <w:r>
        <w:rPr>
          <w:b/>
          <w:bCs/>
        </w:rPr>
        <w:t>1.5. Кадровый состав учреждений</w:t>
      </w:r>
    </w:p>
    <w:p w:rsidR="00ED7F17" w:rsidRDefault="00ED7F17" w:rsidP="00ED7F17">
      <w:pPr>
        <w:ind w:firstLine="709"/>
        <w:jc w:val="both"/>
        <w:rPr>
          <w:b/>
          <w:bCs/>
        </w:rPr>
      </w:pPr>
    </w:p>
    <w:p w:rsidR="00ED7F17" w:rsidRDefault="00ED7F17" w:rsidP="00ED7F17">
      <w:pPr>
        <w:ind w:firstLine="680"/>
        <w:jc w:val="both"/>
        <w:rPr>
          <w:rFonts w:ascii="Arial" w:hAnsi="Arial" w:cs="Arial"/>
          <w:sz w:val="22"/>
          <w:szCs w:val="22"/>
        </w:rPr>
      </w:pPr>
      <w:r>
        <w:rPr>
          <w:rFonts w:eastAsia="Calibri"/>
          <w:iCs/>
          <w:highlight w:val="white"/>
        </w:rPr>
        <w:t xml:space="preserve">Показатель обеспеченности на 10 тыс. населения врачами-кардиологами составляет 1,3, рентгенэндоваскулярными хирургами - 0,1, врачами сосудистыми хирургами – 0,27, что выше аналогичных показателей в среднем по РФ (0,94, 0,07 и 0,17 соответственно). Несмотря на это, </w:t>
      </w:r>
      <w:r>
        <w:rPr>
          <w:rFonts w:eastAsia="Calibri"/>
          <w:highlight w:val="white"/>
          <w:lang w:eastAsia="en-US"/>
        </w:rPr>
        <w:t>в регионе имеется дефицит кадров для оказания специализированной медицинской помощи.</w:t>
      </w:r>
      <w:r>
        <w:rPr>
          <w:rFonts w:eastAsia="Calibri"/>
          <w:iCs/>
          <w:highlight w:val="white"/>
        </w:rPr>
        <w:t xml:space="preserve"> По сравнению с прошлым годом,</w:t>
      </w:r>
      <w:r>
        <w:rPr>
          <w:rFonts w:eastAsia="Calibri"/>
          <w:highlight w:val="white"/>
          <w:lang w:eastAsia="en-US"/>
        </w:rPr>
        <w:t xml:space="preserve"> укомплектованность штатных должностей врачей-кардиологов амбулаторно-поликлинического звена снизилась на 5,2% и составляет 81,9%. Не обеспечены кардиологами поликлиники Наримановской, Икрянинской, Лиманской и Черноярской районных больниц, в большинстве городских поликлиник работает по одному специалисту вместо двух или трёх. Хотя в стационарном секторе регистрируется рост укомплектованности штатных должностей врачей-кардиологов на 7,3%, он составляет лишь 87,3%. Все профильные стационары имеют потребность в специалистах, особенно ПСО Ахтубинской РБ и Харабалинская РБ. Укомплектованность штатных должностей врачей по эндоваскулярной диагностике и лечению также снизилась – на 7,5% и составляет 70,2%, что связано с оттоком обученных специалистов в другие регионы. Укомплектованность штатных должностей сердечно-сосудистых хирургов возросла с 76% до 83,6%.</w:t>
      </w:r>
    </w:p>
    <w:p w:rsidR="00ED7F17" w:rsidRDefault="00ED7F17" w:rsidP="00ED7F17">
      <w:pPr>
        <w:ind w:firstLine="680"/>
        <w:jc w:val="both"/>
      </w:pPr>
      <w:r>
        <w:rPr>
          <w:color w:val="000000"/>
        </w:rPr>
        <w:t>В 2019 году в рамках реализации распоряжения министерства здравоохранения Астраханской области №362р предусмотрено привлечение в сельские районы области 3 –х неврологов: Ахтубинский, Володарский, Наримановский районы и 1 кардиолога в Харабалинский район. В 2018 году были трудоустроены в Камызякский район 2 кардиолога  (Харабалинский и Камызякский районы) и 2 невролога (Икрянинский  и Наримановский районы).</w:t>
      </w:r>
    </w:p>
    <w:p w:rsidR="00ED7F17" w:rsidRDefault="00ED7F17" w:rsidP="00ED7F17">
      <w:pPr>
        <w:ind w:left="720" w:firstLine="709"/>
        <w:jc w:val="both"/>
        <w:rPr>
          <w:b/>
          <w:bCs/>
          <w:highlight w:val="white"/>
        </w:rPr>
      </w:pPr>
    </w:p>
    <w:p w:rsidR="00ED7F17" w:rsidRDefault="00ED7F17" w:rsidP="00ED7F17">
      <w:pPr>
        <w:jc w:val="center"/>
        <w:rPr>
          <w:rFonts w:ascii="Arial" w:hAnsi="Arial" w:cs="Arial"/>
          <w:sz w:val="22"/>
          <w:szCs w:val="22"/>
        </w:rPr>
      </w:pPr>
      <w:r>
        <w:rPr>
          <w:b/>
          <w:bCs/>
          <w:highlight w:val="white"/>
        </w:rPr>
        <w:t>Обеспеченность населения Астраханской области врачами</w:t>
      </w:r>
    </w:p>
    <w:p w:rsidR="00ED7F17" w:rsidRDefault="00ED7F17" w:rsidP="00ED7F17">
      <w:pPr>
        <w:jc w:val="center"/>
      </w:pPr>
      <w:r>
        <w:rPr>
          <w:b/>
          <w:bCs/>
          <w:highlight w:val="white"/>
        </w:rPr>
        <w:t>(на 10 тыс. населения)</w:t>
      </w:r>
    </w:p>
    <w:p w:rsidR="00ED7F17" w:rsidRDefault="00ED7F17" w:rsidP="00ED7F17">
      <w:pPr>
        <w:ind w:left="720" w:firstLine="709"/>
        <w:jc w:val="both"/>
        <w:rPr>
          <w:b/>
          <w:bCs/>
          <w:highlight w:val="white"/>
        </w:rPr>
      </w:pPr>
    </w:p>
    <w:p w:rsidR="00ED7F17" w:rsidRDefault="00ED7F17" w:rsidP="00ED7F17">
      <w:pPr>
        <w:ind w:firstLine="1276"/>
        <w:jc w:val="both"/>
        <w:rPr>
          <w:b/>
          <w:bCs/>
          <w:highlight w:val="white"/>
        </w:rPr>
      </w:pPr>
      <w:r>
        <w:rPr>
          <w:b/>
          <w:bCs/>
          <w:noProof/>
          <w:lang w:eastAsia="ru-RU"/>
        </w:rPr>
        <w:drawing>
          <wp:inline distT="0" distB="0" distL="0" distR="0">
            <wp:extent cx="4693920" cy="229362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7" cstate="print">
                      <a:extLst>
                        <a:ext uri="{28A0092B-C50C-407E-A947-70E740481C1C}">
                          <a14:useLocalDpi xmlns:a14="http://schemas.microsoft.com/office/drawing/2010/main" val="0"/>
                        </a:ext>
                      </a:extLst>
                    </a:blip>
                    <a:srcRect l="-15" t="-27" r="-15" b="-27"/>
                    <a:stretch>
                      <a:fillRect/>
                    </a:stretch>
                  </pic:blipFill>
                  <pic:spPr bwMode="auto">
                    <a:xfrm>
                      <a:off x="0" y="0"/>
                      <a:ext cx="4693920" cy="2293620"/>
                    </a:xfrm>
                    <a:prstGeom prst="rect">
                      <a:avLst/>
                    </a:prstGeom>
                    <a:solidFill>
                      <a:srgbClr val="FFFFFF"/>
                    </a:solidFill>
                    <a:ln>
                      <a:noFill/>
                    </a:ln>
                  </pic:spPr>
                </pic:pic>
              </a:graphicData>
            </a:graphic>
          </wp:inline>
        </w:drawing>
      </w:r>
    </w:p>
    <w:p w:rsidR="00ED7F17" w:rsidRDefault="00ED7F17" w:rsidP="00ED7F17">
      <w:pPr>
        <w:ind w:firstLine="1276"/>
        <w:jc w:val="both"/>
        <w:rPr>
          <w:b/>
          <w:bCs/>
          <w:highlight w:val="white"/>
        </w:rPr>
      </w:pPr>
    </w:p>
    <w:p w:rsidR="00ED7F17" w:rsidRDefault="00ED7F17" w:rsidP="00ED7F17">
      <w:pPr>
        <w:ind w:firstLine="1276"/>
        <w:jc w:val="both"/>
        <w:rPr>
          <w:b/>
          <w:bCs/>
          <w:highlight w:val="white"/>
        </w:rPr>
      </w:pPr>
    </w:p>
    <w:p w:rsidR="00ED7F17" w:rsidRDefault="00ED7F17" w:rsidP="00ED7F17">
      <w:pPr>
        <w:jc w:val="center"/>
        <w:rPr>
          <w:rFonts w:ascii="Arial" w:hAnsi="Arial" w:cs="Arial"/>
          <w:sz w:val="22"/>
          <w:szCs w:val="22"/>
        </w:rPr>
      </w:pPr>
      <w:r>
        <w:rPr>
          <w:b/>
          <w:bCs/>
          <w:highlight w:val="white"/>
        </w:rPr>
        <w:t>Укомплектованность врачами-кардиологами в 2018 году</w:t>
      </w:r>
    </w:p>
    <w:p w:rsidR="00ED7F17" w:rsidRDefault="00ED7F17" w:rsidP="00ED7F17">
      <w:pPr>
        <w:ind w:left="720" w:firstLine="709"/>
        <w:jc w:val="both"/>
        <w:rPr>
          <w:b/>
          <w:bCs/>
          <w:highlight w:val="white"/>
        </w:rPr>
      </w:pPr>
    </w:p>
    <w:tbl>
      <w:tblPr>
        <w:tblW w:w="0" w:type="auto"/>
        <w:tblInd w:w="-15" w:type="dxa"/>
        <w:tblLayout w:type="fixed"/>
        <w:tblLook w:val="04A0" w:firstRow="1" w:lastRow="0" w:firstColumn="1" w:lastColumn="0" w:noHBand="0" w:noVBand="1"/>
      </w:tblPr>
      <w:tblGrid>
        <w:gridCol w:w="3085"/>
        <w:gridCol w:w="2126"/>
        <w:gridCol w:w="1966"/>
        <w:gridCol w:w="2423"/>
      </w:tblGrid>
      <w:tr w:rsidR="00ED7F17" w:rsidTr="00ED7F17">
        <w:tc>
          <w:tcPr>
            <w:tcW w:w="3085" w:type="dxa"/>
            <w:tcBorders>
              <w:top w:val="single" w:sz="4" w:space="0" w:color="000000"/>
              <w:left w:val="single" w:sz="4" w:space="0" w:color="000000"/>
              <w:bottom w:val="single" w:sz="4" w:space="0" w:color="000000"/>
              <w:right w:val="nil"/>
            </w:tcBorders>
            <w:vAlign w:val="center"/>
            <w:hideMark/>
          </w:tcPr>
          <w:p w:rsidR="00ED7F17" w:rsidRDefault="00ED7F17">
            <w:pPr>
              <w:jc w:val="center"/>
              <w:rPr>
                <w:rFonts w:ascii="Arial" w:eastAsia="Arial" w:hAnsi="Arial" w:cs="Arial"/>
                <w:sz w:val="22"/>
                <w:szCs w:val="22"/>
              </w:rPr>
            </w:pPr>
            <w:r>
              <w:rPr>
                <w:b/>
                <w:bCs/>
                <w:sz w:val="20"/>
                <w:szCs w:val="20"/>
                <w:highlight w:val="white"/>
              </w:rPr>
              <w:t>Показатель</w:t>
            </w:r>
          </w:p>
        </w:tc>
        <w:tc>
          <w:tcPr>
            <w:tcW w:w="2126" w:type="dxa"/>
            <w:tcBorders>
              <w:top w:val="single" w:sz="4" w:space="0" w:color="000000"/>
              <w:left w:val="single" w:sz="4" w:space="0" w:color="000000"/>
              <w:bottom w:val="single" w:sz="4" w:space="0" w:color="000000"/>
              <w:right w:val="nil"/>
            </w:tcBorders>
            <w:vAlign w:val="center"/>
            <w:hideMark/>
          </w:tcPr>
          <w:p w:rsidR="00ED7F17" w:rsidRDefault="00ED7F17">
            <w:pPr>
              <w:jc w:val="center"/>
              <w:rPr>
                <w:rFonts w:ascii="Arial" w:eastAsia="Arial" w:hAnsi="Arial" w:cs="Arial"/>
                <w:sz w:val="22"/>
                <w:szCs w:val="22"/>
              </w:rPr>
            </w:pPr>
            <w:r>
              <w:rPr>
                <w:b/>
                <w:bCs/>
                <w:sz w:val="20"/>
                <w:szCs w:val="20"/>
                <w:highlight w:val="white"/>
              </w:rPr>
              <w:t>В амбулаторных условиях</w:t>
            </w:r>
          </w:p>
        </w:tc>
        <w:tc>
          <w:tcPr>
            <w:tcW w:w="1966" w:type="dxa"/>
            <w:tcBorders>
              <w:top w:val="single" w:sz="4" w:space="0" w:color="000000"/>
              <w:left w:val="single" w:sz="4" w:space="0" w:color="000000"/>
              <w:bottom w:val="single" w:sz="4" w:space="0" w:color="000000"/>
              <w:right w:val="nil"/>
            </w:tcBorders>
            <w:vAlign w:val="center"/>
            <w:hideMark/>
          </w:tcPr>
          <w:p w:rsidR="00ED7F17" w:rsidRDefault="00ED7F17">
            <w:pPr>
              <w:jc w:val="center"/>
              <w:rPr>
                <w:rFonts w:ascii="Arial" w:eastAsia="Arial" w:hAnsi="Arial" w:cs="Arial"/>
                <w:sz w:val="22"/>
                <w:szCs w:val="22"/>
              </w:rPr>
            </w:pPr>
            <w:r>
              <w:rPr>
                <w:b/>
                <w:bCs/>
                <w:sz w:val="20"/>
                <w:szCs w:val="20"/>
                <w:highlight w:val="white"/>
              </w:rPr>
              <w:t>В стационаре</w:t>
            </w:r>
          </w:p>
        </w:tc>
        <w:tc>
          <w:tcPr>
            <w:tcW w:w="2423" w:type="dxa"/>
            <w:tcBorders>
              <w:top w:val="single" w:sz="4" w:space="0" w:color="000000"/>
              <w:left w:val="single" w:sz="4" w:space="0" w:color="000000"/>
              <w:bottom w:val="single" w:sz="4" w:space="0" w:color="000000"/>
              <w:right w:val="single" w:sz="4" w:space="0" w:color="000000"/>
            </w:tcBorders>
            <w:vAlign w:val="center"/>
            <w:hideMark/>
          </w:tcPr>
          <w:p w:rsidR="00ED7F17" w:rsidRDefault="00ED7F17">
            <w:pPr>
              <w:jc w:val="center"/>
              <w:rPr>
                <w:rFonts w:ascii="Arial" w:eastAsia="Arial" w:hAnsi="Arial" w:cs="Arial"/>
                <w:sz w:val="22"/>
                <w:szCs w:val="22"/>
              </w:rPr>
            </w:pPr>
            <w:r>
              <w:rPr>
                <w:b/>
                <w:bCs/>
                <w:sz w:val="20"/>
                <w:szCs w:val="20"/>
                <w:highlight w:val="white"/>
              </w:rPr>
              <w:t>Всего</w:t>
            </w:r>
          </w:p>
        </w:tc>
      </w:tr>
      <w:tr w:rsidR="00ED7F17" w:rsidTr="00ED7F17">
        <w:tc>
          <w:tcPr>
            <w:tcW w:w="3085" w:type="dxa"/>
            <w:tcBorders>
              <w:top w:val="single" w:sz="4" w:space="0" w:color="000000"/>
              <w:left w:val="single" w:sz="4" w:space="0" w:color="000000"/>
              <w:bottom w:val="single" w:sz="4" w:space="0" w:color="000000"/>
              <w:right w:val="nil"/>
            </w:tcBorders>
            <w:hideMark/>
          </w:tcPr>
          <w:p w:rsidR="00ED7F17" w:rsidRDefault="00ED7F17">
            <w:pPr>
              <w:rPr>
                <w:rFonts w:ascii="Arial" w:eastAsia="Arial" w:hAnsi="Arial" w:cs="Arial"/>
                <w:sz w:val="22"/>
                <w:szCs w:val="22"/>
              </w:rPr>
            </w:pPr>
            <w:r>
              <w:rPr>
                <w:b/>
                <w:bCs/>
                <w:sz w:val="20"/>
                <w:szCs w:val="20"/>
                <w:highlight w:val="white"/>
              </w:rPr>
              <w:t>Штатные должности</w:t>
            </w:r>
          </w:p>
        </w:tc>
        <w:tc>
          <w:tcPr>
            <w:tcW w:w="2126" w:type="dxa"/>
            <w:tcBorders>
              <w:top w:val="single" w:sz="4" w:space="0" w:color="000000"/>
              <w:left w:val="single" w:sz="4" w:space="0" w:color="000000"/>
              <w:bottom w:val="single" w:sz="4" w:space="0" w:color="000000"/>
              <w:right w:val="nil"/>
            </w:tcBorders>
            <w:vAlign w:val="center"/>
            <w:hideMark/>
          </w:tcPr>
          <w:p w:rsidR="00ED7F17" w:rsidRDefault="00ED7F17">
            <w:pPr>
              <w:jc w:val="center"/>
              <w:rPr>
                <w:rFonts w:ascii="Arial" w:eastAsia="Arial" w:hAnsi="Arial" w:cs="Arial"/>
                <w:sz w:val="22"/>
                <w:szCs w:val="22"/>
              </w:rPr>
            </w:pPr>
            <w:r>
              <w:rPr>
                <w:bCs/>
                <w:sz w:val="20"/>
                <w:szCs w:val="20"/>
                <w:highlight w:val="white"/>
              </w:rPr>
              <w:t>61,0</w:t>
            </w:r>
          </w:p>
        </w:tc>
        <w:tc>
          <w:tcPr>
            <w:tcW w:w="1966" w:type="dxa"/>
            <w:tcBorders>
              <w:top w:val="single" w:sz="4" w:space="0" w:color="000000"/>
              <w:left w:val="single" w:sz="4" w:space="0" w:color="000000"/>
              <w:bottom w:val="single" w:sz="4" w:space="0" w:color="000000"/>
              <w:right w:val="nil"/>
            </w:tcBorders>
            <w:vAlign w:val="center"/>
            <w:hideMark/>
          </w:tcPr>
          <w:p w:rsidR="00ED7F17" w:rsidRDefault="00ED7F17">
            <w:pPr>
              <w:jc w:val="center"/>
              <w:rPr>
                <w:rFonts w:ascii="Arial" w:eastAsia="Arial" w:hAnsi="Arial" w:cs="Arial"/>
                <w:sz w:val="22"/>
                <w:szCs w:val="22"/>
              </w:rPr>
            </w:pPr>
            <w:r>
              <w:rPr>
                <w:bCs/>
                <w:sz w:val="20"/>
                <w:szCs w:val="20"/>
                <w:highlight w:val="white"/>
              </w:rPr>
              <w:t>99,75</w:t>
            </w:r>
          </w:p>
        </w:tc>
        <w:tc>
          <w:tcPr>
            <w:tcW w:w="2423" w:type="dxa"/>
            <w:tcBorders>
              <w:top w:val="single" w:sz="4" w:space="0" w:color="000000"/>
              <w:left w:val="single" w:sz="4" w:space="0" w:color="000000"/>
              <w:bottom w:val="single" w:sz="4" w:space="0" w:color="000000"/>
              <w:right w:val="single" w:sz="4" w:space="0" w:color="000000"/>
            </w:tcBorders>
            <w:vAlign w:val="center"/>
            <w:hideMark/>
          </w:tcPr>
          <w:p w:rsidR="00ED7F17" w:rsidRDefault="00ED7F17">
            <w:pPr>
              <w:jc w:val="center"/>
              <w:rPr>
                <w:rFonts w:ascii="Arial" w:eastAsia="Arial" w:hAnsi="Arial" w:cs="Arial"/>
                <w:sz w:val="22"/>
                <w:szCs w:val="22"/>
              </w:rPr>
            </w:pPr>
            <w:r>
              <w:rPr>
                <w:bCs/>
                <w:sz w:val="20"/>
                <w:szCs w:val="20"/>
                <w:highlight w:val="white"/>
              </w:rPr>
              <w:t>166,0</w:t>
            </w:r>
          </w:p>
        </w:tc>
      </w:tr>
      <w:tr w:rsidR="00ED7F17" w:rsidTr="00ED7F17">
        <w:tc>
          <w:tcPr>
            <w:tcW w:w="3085" w:type="dxa"/>
            <w:tcBorders>
              <w:top w:val="single" w:sz="4" w:space="0" w:color="000000"/>
              <w:left w:val="single" w:sz="4" w:space="0" w:color="000000"/>
              <w:bottom w:val="single" w:sz="4" w:space="0" w:color="000000"/>
              <w:right w:val="nil"/>
            </w:tcBorders>
            <w:hideMark/>
          </w:tcPr>
          <w:p w:rsidR="00ED7F17" w:rsidRDefault="00ED7F17">
            <w:pPr>
              <w:rPr>
                <w:rFonts w:ascii="Arial" w:eastAsia="Arial" w:hAnsi="Arial" w:cs="Arial"/>
                <w:sz w:val="22"/>
                <w:szCs w:val="22"/>
              </w:rPr>
            </w:pPr>
            <w:r>
              <w:rPr>
                <w:b/>
                <w:bCs/>
                <w:sz w:val="20"/>
                <w:szCs w:val="20"/>
                <w:highlight w:val="white"/>
              </w:rPr>
              <w:t>Занятые должности</w:t>
            </w:r>
          </w:p>
        </w:tc>
        <w:tc>
          <w:tcPr>
            <w:tcW w:w="2126" w:type="dxa"/>
            <w:tcBorders>
              <w:top w:val="single" w:sz="4" w:space="0" w:color="000000"/>
              <w:left w:val="single" w:sz="4" w:space="0" w:color="000000"/>
              <w:bottom w:val="single" w:sz="4" w:space="0" w:color="000000"/>
              <w:right w:val="nil"/>
            </w:tcBorders>
            <w:vAlign w:val="center"/>
            <w:hideMark/>
          </w:tcPr>
          <w:p w:rsidR="00ED7F17" w:rsidRDefault="00ED7F17">
            <w:pPr>
              <w:jc w:val="center"/>
              <w:rPr>
                <w:rFonts w:ascii="Arial" w:eastAsia="Arial" w:hAnsi="Arial" w:cs="Arial"/>
                <w:sz w:val="22"/>
                <w:szCs w:val="22"/>
              </w:rPr>
            </w:pPr>
            <w:r>
              <w:rPr>
                <w:bCs/>
                <w:sz w:val="20"/>
                <w:szCs w:val="20"/>
                <w:highlight w:val="white"/>
              </w:rPr>
              <w:t>53,25</w:t>
            </w:r>
          </w:p>
        </w:tc>
        <w:tc>
          <w:tcPr>
            <w:tcW w:w="1966" w:type="dxa"/>
            <w:tcBorders>
              <w:top w:val="single" w:sz="4" w:space="0" w:color="000000"/>
              <w:left w:val="single" w:sz="4" w:space="0" w:color="000000"/>
              <w:bottom w:val="single" w:sz="4" w:space="0" w:color="000000"/>
              <w:right w:val="nil"/>
            </w:tcBorders>
            <w:vAlign w:val="center"/>
            <w:hideMark/>
          </w:tcPr>
          <w:p w:rsidR="00ED7F17" w:rsidRDefault="00ED7F17">
            <w:pPr>
              <w:jc w:val="center"/>
              <w:rPr>
                <w:rFonts w:ascii="Arial" w:eastAsia="Arial" w:hAnsi="Arial" w:cs="Arial"/>
                <w:sz w:val="22"/>
                <w:szCs w:val="22"/>
              </w:rPr>
            </w:pPr>
            <w:r>
              <w:rPr>
                <w:bCs/>
                <w:sz w:val="20"/>
                <w:szCs w:val="20"/>
                <w:highlight w:val="white"/>
              </w:rPr>
              <w:t>90,75</w:t>
            </w:r>
          </w:p>
        </w:tc>
        <w:tc>
          <w:tcPr>
            <w:tcW w:w="2423" w:type="dxa"/>
            <w:tcBorders>
              <w:top w:val="single" w:sz="4" w:space="0" w:color="000000"/>
              <w:left w:val="single" w:sz="4" w:space="0" w:color="000000"/>
              <w:bottom w:val="single" w:sz="4" w:space="0" w:color="000000"/>
              <w:right w:val="single" w:sz="4" w:space="0" w:color="000000"/>
            </w:tcBorders>
            <w:vAlign w:val="center"/>
            <w:hideMark/>
          </w:tcPr>
          <w:p w:rsidR="00ED7F17" w:rsidRDefault="00ED7F17">
            <w:pPr>
              <w:jc w:val="center"/>
              <w:rPr>
                <w:rFonts w:ascii="Arial" w:eastAsia="Arial" w:hAnsi="Arial" w:cs="Arial"/>
                <w:sz w:val="22"/>
                <w:szCs w:val="22"/>
              </w:rPr>
            </w:pPr>
            <w:r>
              <w:rPr>
                <w:bCs/>
                <w:sz w:val="20"/>
                <w:szCs w:val="20"/>
                <w:highlight w:val="white"/>
              </w:rPr>
              <w:t>148,0</w:t>
            </w:r>
          </w:p>
        </w:tc>
      </w:tr>
      <w:tr w:rsidR="00ED7F17" w:rsidTr="00ED7F17">
        <w:tc>
          <w:tcPr>
            <w:tcW w:w="3085" w:type="dxa"/>
            <w:tcBorders>
              <w:top w:val="single" w:sz="4" w:space="0" w:color="000000"/>
              <w:left w:val="single" w:sz="4" w:space="0" w:color="000000"/>
              <w:bottom w:val="single" w:sz="4" w:space="0" w:color="000000"/>
              <w:right w:val="nil"/>
            </w:tcBorders>
            <w:hideMark/>
          </w:tcPr>
          <w:p w:rsidR="00ED7F17" w:rsidRDefault="00ED7F17">
            <w:pPr>
              <w:rPr>
                <w:rFonts w:ascii="Arial" w:eastAsia="Arial" w:hAnsi="Arial" w:cs="Arial"/>
                <w:sz w:val="22"/>
                <w:szCs w:val="22"/>
              </w:rPr>
            </w:pPr>
            <w:r>
              <w:rPr>
                <w:b/>
                <w:bCs/>
                <w:sz w:val="20"/>
                <w:szCs w:val="20"/>
                <w:highlight w:val="white"/>
              </w:rPr>
              <w:t>Количество врачей (физических лиц) на занятых должностях</w:t>
            </w:r>
          </w:p>
        </w:tc>
        <w:tc>
          <w:tcPr>
            <w:tcW w:w="2126" w:type="dxa"/>
            <w:tcBorders>
              <w:top w:val="single" w:sz="4" w:space="0" w:color="000000"/>
              <w:left w:val="single" w:sz="4" w:space="0" w:color="000000"/>
              <w:bottom w:val="single" w:sz="4" w:space="0" w:color="000000"/>
              <w:right w:val="nil"/>
            </w:tcBorders>
            <w:vAlign w:val="center"/>
            <w:hideMark/>
          </w:tcPr>
          <w:p w:rsidR="00ED7F17" w:rsidRDefault="00ED7F17">
            <w:pPr>
              <w:jc w:val="center"/>
              <w:rPr>
                <w:rFonts w:ascii="Arial" w:eastAsia="Arial" w:hAnsi="Arial" w:cs="Arial"/>
                <w:sz w:val="22"/>
                <w:szCs w:val="22"/>
              </w:rPr>
            </w:pPr>
            <w:r>
              <w:rPr>
                <w:bCs/>
                <w:sz w:val="20"/>
                <w:szCs w:val="20"/>
                <w:highlight w:val="white"/>
              </w:rPr>
              <w:t>47</w:t>
            </w:r>
          </w:p>
        </w:tc>
        <w:tc>
          <w:tcPr>
            <w:tcW w:w="1966" w:type="dxa"/>
            <w:tcBorders>
              <w:top w:val="single" w:sz="4" w:space="0" w:color="000000"/>
              <w:left w:val="single" w:sz="4" w:space="0" w:color="000000"/>
              <w:bottom w:val="single" w:sz="4" w:space="0" w:color="000000"/>
              <w:right w:val="nil"/>
            </w:tcBorders>
            <w:vAlign w:val="center"/>
            <w:hideMark/>
          </w:tcPr>
          <w:p w:rsidR="00ED7F17" w:rsidRDefault="00ED7F17">
            <w:pPr>
              <w:jc w:val="center"/>
              <w:rPr>
                <w:rFonts w:ascii="Arial" w:eastAsia="Arial" w:hAnsi="Arial" w:cs="Arial"/>
                <w:sz w:val="22"/>
                <w:szCs w:val="22"/>
              </w:rPr>
            </w:pPr>
            <w:r>
              <w:rPr>
                <w:bCs/>
                <w:sz w:val="20"/>
                <w:szCs w:val="20"/>
                <w:highlight w:val="white"/>
              </w:rPr>
              <w:t>85</w:t>
            </w:r>
          </w:p>
        </w:tc>
        <w:tc>
          <w:tcPr>
            <w:tcW w:w="2423" w:type="dxa"/>
            <w:tcBorders>
              <w:top w:val="single" w:sz="4" w:space="0" w:color="000000"/>
              <w:left w:val="single" w:sz="4" w:space="0" w:color="000000"/>
              <w:bottom w:val="single" w:sz="4" w:space="0" w:color="000000"/>
              <w:right w:val="single" w:sz="4" w:space="0" w:color="000000"/>
            </w:tcBorders>
            <w:vAlign w:val="center"/>
            <w:hideMark/>
          </w:tcPr>
          <w:p w:rsidR="00ED7F17" w:rsidRDefault="00ED7F17">
            <w:pPr>
              <w:jc w:val="center"/>
              <w:rPr>
                <w:rFonts w:ascii="Arial" w:eastAsia="Arial" w:hAnsi="Arial" w:cs="Arial"/>
                <w:sz w:val="22"/>
                <w:szCs w:val="22"/>
              </w:rPr>
            </w:pPr>
            <w:r>
              <w:rPr>
                <w:bCs/>
                <w:sz w:val="20"/>
                <w:szCs w:val="20"/>
                <w:highlight w:val="white"/>
              </w:rPr>
              <w:t>134</w:t>
            </w:r>
          </w:p>
        </w:tc>
      </w:tr>
      <w:tr w:rsidR="00ED7F17" w:rsidTr="00ED7F17">
        <w:tc>
          <w:tcPr>
            <w:tcW w:w="3085" w:type="dxa"/>
            <w:tcBorders>
              <w:top w:val="single" w:sz="4" w:space="0" w:color="000000"/>
              <w:left w:val="single" w:sz="4" w:space="0" w:color="000000"/>
              <w:bottom w:val="single" w:sz="4" w:space="0" w:color="000000"/>
              <w:right w:val="nil"/>
            </w:tcBorders>
            <w:hideMark/>
          </w:tcPr>
          <w:p w:rsidR="00ED7F17" w:rsidRDefault="00ED7F17">
            <w:pPr>
              <w:rPr>
                <w:rFonts w:ascii="Arial" w:eastAsia="Arial" w:hAnsi="Arial" w:cs="Arial"/>
                <w:sz w:val="22"/>
                <w:szCs w:val="22"/>
              </w:rPr>
            </w:pPr>
            <w:r>
              <w:rPr>
                <w:b/>
                <w:bCs/>
                <w:sz w:val="20"/>
                <w:szCs w:val="20"/>
                <w:highlight w:val="white"/>
              </w:rPr>
              <w:t>Укомплектованность штатных должностей, %:</w:t>
            </w:r>
          </w:p>
        </w:tc>
        <w:tc>
          <w:tcPr>
            <w:tcW w:w="2126" w:type="dxa"/>
            <w:tcBorders>
              <w:top w:val="single" w:sz="4" w:space="0" w:color="000000"/>
              <w:left w:val="single" w:sz="4" w:space="0" w:color="000000"/>
              <w:bottom w:val="single" w:sz="4" w:space="0" w:color="000000"/>
              <w:right w:val="nil"/>
            </w:tcBorders>
            <w:vAlign w:val="center"/>
          </w:tcPr>
          <w:p w:rsidR="00ED7F17" w:rsidRDefault="00ED7F17">
            <w:pPr>
              <w:snapToGrid w:val="0"/>
              <w:jc w:val="center"/>
              <w:rPr>
                <w:rFonts w:eastAsia="Arial"/>
                <w:b/>
                <w:bCs/>
                <w:sz w:val="20"/>
                <w:szCs w:val="20"/>
                <w:highlight w:val="white"/>
              </w:rPr>
            </w:pPr>
          </w:p>
        </w:tc>
        <w:tc>
          <w:tcPr>
            <w:tcW w:w="1966" w:type="dxa"/>
            <w:tcBorders>
              <w:top w:val="single" w:sz="4" w:space="0" w:color="000000"/>
              <w:left w:val="single" w:sz="4" w:space="0" w:color="000000"/>
              <w:bottom w:val="single" w:sz="4" w:space="0" w:color="000000"/>
              <w:right w:val="nil"/>
            </w:tcBorders>
            <w:vAlign w:val="center"/>
          </w:tcPr>
          <w:p w:rsidR="00ED7F17" w:rsidRDefault="00ED7F17">
            <w:pPr>
              <w:snapToGrid w:val="0"/>
              <w:jc w:val="center"/>
              <w:rPr>
                <w:rFonts w:eastAsia="Arial"/>
                <w:b/>
                <w:bCs/>
                <w:sz w:val="20"/>
                <w:szCs w:val="20"/>
                <w:highlight w:val="white"/>
              </w:rPr>
            </w:pPr>
          </w:p>
        </w:tc>
        <w:tc>
          <w:tcPr>
            <w:tcW w:w="2423" w:type="dxa"/>
            <w:tcBorders>
              <w:top w:val="single" w:sz="4" w:space="0" w:color="000000"/>
              <w:left w:val="single" w:sz="4" w:space="0" w:color="000000"/>
              <w:bottom w:val="single" w:sz="4" w:space="0" w:color="000000"/>
              <w:right w:val="single" w:sz="4" w:space="0" w:color="000000"/>
            </w:tcBorders>
            <w:vAlign w:val="center"/>
          </w:tcPr>
          <w:p w:rsidR="00ED7F17" w:rsidRDefault="00ED7F17">
            <w:pPr>
              <w:snapToGrid w:val="0"/>
              <w:jc w:val="center"/>
              <w:rPr>
                <w:rFonts w:eastAsia="Arial"/>
                <w:b/>
                <w:bCs/>
                <w:sz w:val="20"/>
                <w:szCs w:val="20"/>
                <w:highlight w:val="white"/>
              </w:rPr>
            </w:pPr>
          </w:p>
        </w:tc>
      </w:tr>
      <w:tr w:rsidR="00ED7F17" w:rsidTr="00ED7F17">
        <w:tc>
          <w:tcPr>
            <w:tcW w:w="3085" w:type="dxa"/>
            <w:tcBorders>
              <w:top w:val="single" w:sz="4" w:space="0" w:color="000000"/>
              <w:left w:val="single" w:sz="4" w:space="0" w:color="000000"/>
              <w:bottom w:val="single" w:sz="4" w:space="0" w:color="000000"/>
              <w:right w:val="nil"/>
            </w:tcBorders>
            <w:hideMark/>
          </w:tcPr>
          <w:p w:rsidR="00ED7F17" w:rsidRDefault="00ED7F17">
            <w:pPr>
              <w:rPr>
                <w:rFonts w:ascii="Arial" w:eastAsia="Arial" w:hAnsi="Arial" w:cs="Arial"/>
                <w:sz w:val="22"/>
                <w:szCs w:val="22"/>
              </w:rPr>
            </w:pPr>
            <w:r>
              <w:rPr>
                <w:b/>
                <w:bCs/>
                <w:sz w:val="20"/>
                <w:szCs w:val="20"/>
                <w:highlight w:val="white"/>
              </w:rPr>
              <w:t>занятыми ставками</w:t>
            </w:r>
          </w:p>
        </w:tc>
        <w:tc>
          <w:tcPr>
            <w:tcW w:w="2126" w:type="dxa"/>
            <w:tcBorders>
              <w:top w:val="single" w:sz="4" w:space="0" w:color="000000"/>
              <w:left w:val="single" w:sz="4" w:space="0" w:color="000000"/>
              <w:bottom w:val="single" w:sz="4" w:space="0" w:color="000000"/>
              <w:right w:val="nil"/>
            </w:tcBorders>
            <w:vAlign w:val="center"/>
            <w:hideMark/>
          </w:tcPr>
          <w:p w:rsidR="00ED7F17" w:rsidRDefault="00ED7F17">
            <w:pPr>
              <w:jc w:val="center"/>
              <w:rPr>
                <w:rFonts w:ascii="Arial" w:eastAsia="Arial" w:hAnsi="Arial" w:cs="Arial"/>
                <w:sz w:val="22"/>
                <w:szCs w:val="22"/>
              </w:rPr>
            </w:pPr>
            <w:r>
              <w:rPr>
                <w:bCs/>
                <w:sz w:val="20"/>
                <w:szCs w:val="20"/>
                <w:highlight w:val="white"/>
              </w:rPr>
              <w:t>87,3</w:t>
            </w:r>
          </w:p>
        </w:tc>
        <w:tc>
          <w:tcPr>
            <w:tcW w:w="1966" w:type="dxa"/>
            <w:tcBorders>
              <w:top w:val="single" w:sz="4" w:space="0" w:color="000000"/>
              <w:left w:val="single" w:sz="4" w:space="0" w:color="000000"/>
              <w:bottom w:val="single" w:sz="4" w:space="0" w:color="000000"/>
              <w:right w:val="nil"/>
            </w:tcBorders>
            <w:vAlign w:val="center"/>
            <w:hideMark/>
          </w:tcPr>
          <w:p w:rsidR="00ED7F17" w:rsidRDefault="00ED7F17">
            <w:pPr>
              <w:jc w:val="center"/>
              <w:rPr>
                <w:rFonts w:ascii="Arial" w:eastAsia="Arial" w:hAnsi="Arial" w:cs="Arial"/>
                <w:sz w:val="22"/>
                <w:szCs w:val="22"/>
              </w:rPr>
            </w:pPr>
            <w:r>
              <w:rPr>
                <w:bCs/>
                <w:sz w:val="20"/>
                <w:szCs w:val="20"/>
                <w:highlight w:val="white"/>
              </w:rPr>
              <w:t>91,0</w:t>
            </w:r>
          </w:p>
        </w:tc>
        <w:tc>
          <w:tcPr>
            <w:tcW w:w="2423" w:type="dxa"/>
            <w:tcBorders>
              <w:top w:val="single" w:sz="4" w:space="0" w:color="000000"/>
              <w:left w:val="single" w:sz="4" w:space="0" w:color="000000"/>
              <w:bottom w:val="single" w:sz="4" w:space="0" w:color="000000"/>
              <w:right w:val="single" w:sz="4" w:space="0" w:color="000000"/>
            </w:tcBorders>
            <w:vAlign w:val="center"/>
            <w:hideMark/>
          </w:tcPr>
          <w:p w:rsidR="00ED7F17" w:rsidRDefault="00ED7F17">
            <w:pPr>
              <w:jc w:val="center"/>
              <w:rPr>
                <w:rFonts w:ascii="Arial" w:eastAsia="Arial" w:hAnsi="Arial" w:cs="Arial"/>
                <w:sz w:val="22"/>
                <w:szCs w:val="22"/>
              </w:rPr>
            </w:pPr>
            <w:r>
              <w:rPr>
                <w:bCs/>
                <w:sz w:val="20"/>
                <w:szCs w:val="20"/>
                <w:highlight w:val="white"/>
              </w:rPr>
              <w:t>89,2</w:t>
            </w:r>
          </w:p>
        </w:tc>
      </w:tr>
      <w:tr w:rsidR="00ED7F17" w:rsidTr="00ED7F17">
        <w:tc>
          <w:tcPr>
            <w:tcW w:w="3085" w:type="dxa"/>
            <w:tcBorders>
              <w:top w:val="single" w:sz="4" w:space="0" w:color="000000"/>
              <w:left w:val="single" w:sz="4" w:space="0" w:color="000000"/>
              <w:bottom w:val="single" w:sz="4" w:space="0" w:color="000000"/>
              <w:right w:val="nil"/>
            </w:tcBorders>
            <w:hideMark/>
          </w:tcPr>
          <w:p w:rsidR="00ED7F17" w:rsidRDefault="00ED7F17">
            <w:pPr>
              <w:rPr>
                <w:rFonts w:ascii="Arial" w:eastAsia="Arial" w:hAnsi="Arial" w:cs="Arial"/>
                <w:sz w:val="22"/>
                <w:szCs w:val="22"/>
              </w:rPr>
            </w:pPr>
            <w:r>
              <w:rPr>
                <w:b/>
                <w:bCs/>
                <w:sz w:val="20"/>
                <w:szCs w:val="20"/>
                <w:highlight w:val="white"/>
              </w:rPr>
              <w:t>физическими лицами</w:t>
            </w:r>
          </w:p>
        </w:tc>
        <w:tc>
          <w:tcPr>
            <w:tcW w:w="2126" w:type="dxa"/>
            <w:tcBorders>
              <w:top w:val="single" w:sz="4" w:space="0" w:color="000000"/>
              <w:left w:val="single" w:sz="4" w:space="0" w:color="000000"/>
              <w:bottom w:val="single" w:sz="4" w:space="0" w:color="000000"/>
              <w:right w:val="nil"/>
            </w:tcBorders>
            <w:vAlign w:val="center"/>
            <w:hideMark/>
          </w:tcPr>
          <w:p w:rsidR="00ED7F17" w:rsidRDefault="00ED7F17">
            <w:pPr>
              <w:jc w:val="center"/>
              <w:rPr>
                <w:rFonts w:ascii="Arial" w:eastAsia="Arial" w:hAnsi="Arial" w:cs="Arial"/>
                <w:sz w:val="22"/>
                <w:szCs w:val="22"/>
              </w:rPr>
            </w:pPr>
            <w:r>
              <w:rPr>
                <w:bCs/>
                <w:sz w:val="20"/>
                <w:szCs w:val="20"/>
                <w:highlight w:val="white"/>
              </w:rPr>
              <w:t>77,1</w:t>
            </w:r>
          </w:p>
        </w:tc>
        <w:tc>
          <w:tcPr>
            <w:tcW w:w="1966" w:type="dxa"/>
            <w:tcBorders>
              <w:top w:val="single" w:sz="4" w:space="0" w:color="000000"/>
              <w:left w:val="single" w:sz="4" w:space="0" w:color="000000"/>
              <w:bottom w:val="single" w:sz="4" w:space="0" w:color="000000"/>
              <w:right w:val="nil"/>
            </w:tcBorders>
            <w:vAlign w:val="center"/>
            <w:hideMark/>
          </w:tcPr>
          <w:p w:rsidR="00ED7F17" w:rsidRDefault="00ED7F17">
            <w:pPr>
              <w:jc w:val="center"/>
              <w:rPr>
                <w:rFonts w:ascii="Arial" w:eastAsia="Arial" w:hAnsi="Arial" w:cs="Arial"/>
                <w:sz w:val="22"/>
                <w:szCs w:val="22"/>
              </w:rPr>
            </w:pPr>
            <w:r>
              <w:rPr>
                <w:bCs/>
                <w:sz w:val="20"/>
                <w:szCs w:val="20"/>
                <w:highlight w:val="white"/>
              </w:rPr>
              <w:t>85,2</w:t>
            </w:r>
          </w:p>
        </w:tc>
        <w:tc>
          <w:tcPr>
            <w:tcW w:w="2423" w:type="dxa"/>
            <w:tcBorders>
              <w:top w:val="single" w:sz="4" w:space="0" w:color="000000"/>
              <w:left w:val="single" w:sz="4" w:space="0" w:color="000000"/>
              <w:bottom w:val="single" w:sz="4" w:space="0" w:color="000000"/>
              <w:right w:val="single" w:sz="4" w:space="0" w:color="000000"/>
            </w:tcBorders>
            <w:vAlign w:val="center"/>
            <w:hideMark/>
          </w:tcPr>
          <w:p w:rsidR="00ED7F17" w:rsidRDefault="00ED7F17">
            <w:pPr>
              <w:jc w:val="center"/>
              <w:rPr>
                <w:rFonts w:ascii="Arial" w:eastAsia="Arial" w:hAnsi="Arial" w:cs="Arial"/>
                <w:sz w:val="22"/>
                <w:szCs w:val="22"/>
              </w:rPr>
            </w:pPr>
            <w:r>
              <w:rPr>
                <w:bCs/>
                <w:sz w:val="20"/>
                <w:szCs w:val="20"/>
                <w:highlight w:val="white"/>
              </w:rPr>
              <w:t>80,7</w:t>
            </w:r>
          </w:p>
        </w:tc>
      </w:tr>
      <w:tr w:rsidR="00ED7F17" w:rsidTr="00ED7F17">
        <w:tc>
          <w:tcPr>
            <w:tcW w:w="3085" w:type="dxa"/>
            <w:tcBorders>
              <w:top w:val="single" w:sz="4" w:space="0" w:color="000000"/>
              <w:left w:val="single" w:sz="4" w:space="0" w:color="000000"/>
              <w:bottom w:val="single" w:sz="4" w:space="0" w:color="000000"/>
              <w:right w:val="nil"/>
            </w:tcBorders>
            <w:hideMark/>
          </w:tcPr>
          <w:p w:rsidR="00ED7F17" w:rsidRDefault="00ED7F17">
            <w:pPr>
              <w:rPr>
                <w:rFonts w:ascii="Arial" w:eastAsia="Arial" w:hAnsi="Arial" w:cs="Arial"/>
                <w:sz w:val="22"/>
                <w:szCs w:val="22"/>
              </w:rPr>
            </w:pPr>
            <w:r>
              <w:rPr>
                <w:b/>
                <w:bCs/>
                <w:sz w:val="20"/>
                <w:szCs w:val="20"/>
                <w:highlight w:val="white"/>
              </w:rPr>
              <w:t>Коэффициент совместительства</w:t>
            </w:r>
          </w:p>
        </w:tc>
        <w:tc>
          <w:tcPr>
            <w:tcW w:w="2126" w:type="dxa"/>
            <w:tcBorders>
              <w:top w:val="single" w:sz="4" w:space="0" w:color="000000"/>
              <w:left w:val="single" w:sz="4" w:space="0" w:color="000000"/>
              <w:bottom w:val="single" w:sz="4" w:space="0" w:color="000000"/>
              <w:right w:val="nil"/>
            </w:tcBorders>
            <w:vAlign w:val="center"/>
            <w:hideMark/>
          </w:tcPr>
          <w:p w:rsidR="00ED7F17" w:rsidRDefault="00ED7F17">
            <w:pPr>
              <w:jc w:val="center"/>
              <w:rPr>
                <w:rFonts w:ascii="Arial" w:eastAsia="Arial" w:hAnsi="Arial" w:cs="Arial"/>
                <w:sz w:val="22"/>
                <w:szCs w:val="22"/>
              </w:rPr>
            </w:pPr>
            <w:r>
              <w:rPr>
                <w:bCs/>
                <w:sz w:val="20"/>
                <w:szCs w:val="20"/>
                <w:highlight w:val="white"/>
              </w:rPr>
              <w:t>1,1</w:t>
            </w:r>
          </w:p>
        </w:tc>
        <w:tc>
          <w:tcPr>
            <w:tcW w:w="1966" w:type="dxa"/>
            <w:tcBorders>
              <w:top w:val="single" w:sz="4" w:space="0" w:color="000000"/>
              <w:left w:val="single" w:sz="4" w:space="0" w:color="000000"/>
              <w:bottom w:val="single" w:sz="4" w:space="0" w:color="000000"/>
              <w:right w:val="nil"/>
            </w:tcBorders>
            <w:vAlign w:val="center"/>
            <w:hideMark/>
          </w:tcPr>
          <w:p w:rsidR="00ED7F17" w:rsidRDefault="00ED7F17">
            <w:pPr>
              <w:jc w:val="center"/>
              <w:rPr>
                <w:rFonts w:ascii="Arial" w:eastAsia="Arial" w:hAnsi="Arial" w:cs="Arial"/>
                <w:sz w:val="22"/>
                <w:szCs w:val="22"/>
              </w:rPr>
            </w:pPr>
            <w:r>
              <w:rPr>
                <w:bCs/>
                <w:sz w:val="20"/>
                <w:szCs w:val="20"/>
                <w:highlight w:val="white"/>
              </w:rPr>
              <w:t>1,1</w:t>
            </w:r>
          </w:p>
        </w:tc>
        <w:tc>
          <w:tcPr>
            <w:tcW w:w="2423" w:type="dxa"/>
            <w:tcBorders>
              <w:top w:val="single" w:sz="4" w:space="0" w:color="000000"/>
              <w:left w:val="single" w:sz="4" w:space="0" w:color="000000"/>
              <w:bottom w:val="single" w:sz="4" w:space="0" w:color="000000"/>
              <w:right w:val="single" w:sz="4" w:space="0" w:color="000000"/>
            </w:tcBorders>
            <w:vAlign w:val="center"/>
            <w:hideMark/>
          </w:tcPr>
          <w:p w:rsidR="00ED7F17" w:rsidRDefault="00ED7F17">
            <w:pPr>
              <w:jc w:val="center"/>
              <w:rPr>
                <w:rFonts w:ascii="Arial" w:eastAsia="Arial" w:hAnsi="Arial" w:cs="Arial"/>
                <w:sz w:val="22"/>
                <w:szCs w:val="22"/>
              </w:rPr>
            </w:pPr>
            <w:r>
              <w:rPr>
                <w:bCs/>
                <w:sz w:val="20"/>
                <w:szCs w:val="20"/>
                <w:highlight w:val="white"/>
              </w:rPr>
              <w:t>1,1</w:t>
            </w:r>
          </w:p>
        </w:tc>
      </w:tr>
      <w:tr w:rsidR="00ED7F17" w:rsidTr="00ED7F17">
        <w:tc>
          <w:tcPr>
            <w:tcW w:w="3085" w:type="dxa"/>
            <w:tcBorders>
              <w:top w:val="single" w:sz="4" w:space="0" w:color="000000"/>
              <w:left w:val="single" w:sz="4" w:space="0" w:color="000000"/>
              <w:bottom w:val="single" w:sz="4" w:space="0" w:color="000000"/>
              <w:right w:val="nil"/>
            </w:tcBorders>
            <w:hideMark/>
          </w:tcPr>
          <w:p w:rsidR="00ED7F17" w:rsidRDefault="00ED7F17">
            <w:pPr>
              <w:rPr>
                <w:rFonts w:ascii="Arial" w:eastAsia="Arial" w:hAnsi="Arial" w:cs="Arial"/>
                <w:sz w:val="22"/>
                <w:szCs w:val="22"/>
              </w:rPr>
            </w:pPr>
            <w:r>
              <w:rPr>
                <w:b/>
                <w:bCs/>
                <w:sz w:val="20"/>
                <w:szCs w:val="20"/>
                <w:highlight w:val="white"/>
              </w:rPr>
              <w:t>Обеспеченность, на 10 тыс. взрослого населения</w:t>
            </w:r>
          </w:p>
        </w:tc>
        <w:tc>
          <w:tcPr>
            <w:tcW w:w="2126" w:type="dxa"/>
            <w:tcBorders>
              <w:top w:val="single" w:sz="4" w:space="0" w:color="000000"/>
              <w:left w:val="single" w:sz="4" w:space="0" w:color="000000"/>
              <w:bottom w:val="single" w:sz="4" w:space="0" w:color="000000"/>
              <w:right w:val="nil"/>
            </w:tcBorders>
            <w:vAlign w:val="center"/>
            <w:hideMark/>
          </w:tcPr>
          <w:p w:rsidR="00ED7F17" w:rsidRDefault="00ED7F17">
            <w:pPr>
              <w:jc w:val="center"/>
              <w:rPr>
                <w:rFonts w:ascii="Arial" w:eastAsia="Arial" w:hAnsi="Arial" w:cs="Arial"/>
                <w:sz w:val="22"/>
                <w:szCs w:val="22"/>
              </w:rPr>
            </w:pPr>
            <w:r>
              <w:rPr>
                <w:bCs/>
                <w:sz w:val="20"/>
                <w:szCs w:val="20"/>
                <w:highlight w:val="white"/>
              </w:rPr>
              <w:t>0,59</w:t>
            </w:r>
          </w:p>
        </w:tc>
        <w:tc>
          <w:tcPr>
            <w:tcW w:w="1966" w:type="dxa"/>
            <w:tcBorders>
              <w:top w:val="single" w:sz="4" w:space="0" w:color="000000"/>
              <w:left w:val="single" w:sz="4" w:space="0" w:color="000000"/>
              <w:bottom w:val="single" w:sz="4" w:space="0" w:color="000000"/>
              <w:right w:val="nil"/>
            </w:tcBorders>
            <w:vAlign w:val="center"/>
            <w:hideMark/>
          </w:tcPr>
          <w:p w:rsidR="00ED7F17" w:rsidRDefault="00ED7F17">
            <w:pPr>
              <w:jc w:val="center"/>
              <w:rPr>
                <w:rFonts w:ascii="Arial" w:eastAsia="Arial" w:hAnsi="Arial" w:cs="Arial"/>
                <w:sz w:val="22"/>
                <w:szCs w:val="22"/>
              </w:rPr>
            </w:pPr>
            <w:r>
              <w:rPr>
                <w:bCs/>
                <w:sz w:val="20"/>
                <w:szCs w:val="20"/>
                <w:highlight w:val="white"/>
              </w:rPr>
              <w:t>1,07</w:t>
            </w:r>
          </w:p>
        </w:tc>
        <w:tc>
          <w:tcPr>
            <w:tcW w:w="2423" w:type="dxa"/>
            <w:tcBorders>
              <w:top w:val="single" w:sz="4" w:space="0" w:color="000000"/>
              <w:left w:val="single" w:sz="4" w:space="0" w:color="000000"/>
              <w:bottom w:val="single" w:sz="4" w:space="0" w:color="000000"/>
              <w:right w:val="single" w:sz="4" w:space="0" w:color="000000"/>
            </w:tcBorders>
            <w:vAlign w:val="center"/>
            <w:hideMark/>
          </w:tcPr>
          <w:p w:rsidR="00ED7F17" w:rsidRDefault="00ED7F17">
            <w:pPr>
              <w:jc w:val="center"/>
              <w:rPr>
                <w:rFonts w:ascii="Arial" w:eastAsia="Arial" w:hAnsi="Arial" w:cs="Arial"/>
                <w:sz w:val="22"/>
                <w:szCs w:val="22"/>
              </w:rPr>
            </w:pPr>
            <w:r>
              <w:rPr>
                <w:bCs/>
                <w:sz w:val="20"/>
                <w:szCs w:val="20"/>
                <w:highlight w:val="white"/>
              </w:rPr>
              <w:t>1,69</w:t>
            </w:r>
          </w:p>
          <w:p w:rsidR="00ED7F17" w:rsidRDefault="00ED7F17">
            <w:pPr>
              <w:jc w:val="center"/>
              <w:rPr>
                <w:rFonts w:ascii="Arial" w:eastAsia="Arial" w:hAnsi="Arial" w:cs="Arial"/>
                <w:sz w:val="22"/>
                <w:szCs w:val="22"/>
              </w:rPr>
            </w:pPr>
            <w:r>
              <w:rPr>
                <w:bCs/>
                <w:sz w:val="20"/>
                <w:szCs w:val="20"/>
                <w:highlight w:val="white"/>
              </w:rPr>
              <w:t>(РФ – 0,94, ЮФО – 0,88)</w:t>
            </w:r>
          </w:p>
        </w:tc>
      </w:tr>
    </w:tbl>
    <w:p w:rsidR="00ED7F17" w:rsidRDefault="00ED7F17" w:rsidP="00ED7F17">
      <w:pPr>
        <w:jc w:val="both"/>
        <w:rPr>
          <w:rFonts w:eastAsia="Arial"/>
          <w:b/>
          <w:bCs/>
          <w:highlight w:val="white"/>
        </w:rPr>
      </w:pPr>
    </w:p>
    <w:p w:rsidR="00ED7F17" w:rsidRDefault="00ED7F17" w:rsidP="00ED7F17">
      <w:pPr>
        <w:jc w:val="center"/>
        <w:rPr>
          <w:rFonts w:ascii="Arial" w:hAnsi="Arial" w:cs="Arial"/>
          <w:sz w:val="22"/>
          <w:szCs w:val="22"/>
        </w:rPr>
      </w:pPr>
      <w:r>
        <w:rPr>
          <w:b/>
          <w:bCs/>
          <w:highlight w:val="white"/>
        </w:rPr>
        <w:t>Укомплектованность сердечно-сосудистыми хирургами, врачами по рентгенваскулярной диагностике и лечению, нейрохирургами в 2018 году</w:t>
      </w:r>
    </w:p>
    <w:p w:rsidR="00ED7F17" w:rsidRDefault="00ED7F17" w:rsidP="00ED7F17">
      <w:pPr>
        <w:ind w:left="720" w:firstLine="709"/>
        <w:jc w:val="both"/>
        <w:rPr>
          <w:b/>
          <w:bCs/>
          <w:highlight w:val="white"/>
        </w:rPr>
      </w:pPr>
    </w:p>
    <w:tbl>
      <w:tblPr>
        <w:tblW w:w="0" w:type="auto"/>
        <w:tblInd w:w="-49" w:type="dxa"/>
        <w:tblLayout w:type="fixed"/>
        <w:tblLook w:val="04A0" w:firstRow="1" w:lastRow="0" w:firstColumn="1" w:lastColumn="0" w:noHBand="0" w:noVBand="1"/>
      </w:tblPr>
      <w:tblGrid>
        <w:gridCol w:w="3119"/>
        <w:gridCol w:w="2126"/>
        <w:gridCol w:w="2126"/>
        <w:gridCol w:w="2156"/>
      </w:tblGrid>
      <w:tr w:rsidR="00ED7F17" w:rsidTr="00ED7F17">
        <w:tc>
          <w:tcPr>
            <w:tcW w:w="3119" w:type="dxa"/>
            <w:tcBorders>
              <w:top w:val="single" w:sz="4" w:space="0" w:color="000000"/>
              <w:left w:val="single" w:sz="4" w:space="0" w:color="000000"/>
              <w:bottom w:val="single" w:sz="4" w:space="0" w:color="000000"/>
              <w:right w:val="nil"/>
            </w:tcBorders>
            <w:hideMark/>
          </w:tcPr>
          <w:p w:rsidR="00ED7F17" w:rsidRDefault="00ED7F17">
            <w:pPr>
              <w:rPr>
                <w:rFonts w:ascii="Arial" w:eastAsia="Arial" w:hAnsi="Arial" w:cs="Arial"/>
                <w:sz w:val="22"/>
                <w:szCs w:val="22"/>
              </w:rPr>
            </w:pPr>
            <w:r>
              <w:rPr>
                <w:b/>
                <w:bCs/>
                <w:sz w:val="20"/>
                <w:szCs w:val="20"/>
                <w:highlight w:val="white"/>
              </w:rPr>
              <w:t>Показатель</w:t>
            </w:r>
          </w:p>
        </w:tc>
        <w:tc>
          <w:tcPr>
            <w:tcW w:w="2126" w:type="dxa"/>
            <w:tcBorders>
              <w:top w:val="single" w:sz="4" w:space="0" w:color="000000"/>
              <w:left w:val="single" w:sz="4" w:space="0" w:color="000000"/>
              <w:bottom w:val="single" w:sz="4" w:space="0" w:color="000000"/>
              <w:right w:val="nil"/>
            </w:tcBorders>
            <w:vAlign w:val="center"/>
            <w:hideMark/>
          </w:tcPr>
          <w:p w:rsidR="00ED7F17" w:rsidRDefault="00ED7F17">
            <w:pPr>
              <w:jc w:val="center"/>
              <w:rPr>
                <w:rFonts w:ascii="Arial" w:eastAsia="Arial" w:hAnsi="Arial" w:cs="Arial"/>
                <w:sz w:val="22"/>
                <w:szCs w:val="22"/>
              </w:rPr>
            </w:pPr>
            <w:r>
              <w:rPr>
                <w:b/>
                <w:bCs/>
                <w:sz w:val="20"/>
                <w:szCs w:val="20"/>
                <w:highlight w:val="white"/>
              </w:rPr>
              <w:t>сердечно-сосудистые хирурги</w:t>
            </w:r>
          </w:p>
        </w:tc>
        <w:tc>
          <w:tcPr>
            <w:tcW w:w="2126" w:type="dxa"/>
            <w:tcBorders>
              <w:top w:val="single" w:sz="4" w:space="0" w:color="000000"/>
              <w:left w:val="single" w:sz="4" w:space="0" w:color="000000"/>
              <w:bottom w:val="single" w:sz="4" w:space="0" w:color="000000"/>
              <w:right w:val="nil"/>
            </w:tcBorders>
            <w:vAlign w:val="center"/>
            <w:hideMark/>
          </w:tcPr>
          <w:p w:rsidR="00ED7F17" w:rsidRDefault="00ED7F17">
            <w:pPr>
              <w:jc w:val="center"/>
              <w:rPr>
                <w:rFonts w:ascii="Arial" w:eastAsia="Arial" w:hAnsi="Arial" w:cs="Arial"/>
                <w:sz w:val="22"/>
                <w:szCs w:val="22"/>
              </w:rPr>
            </w:pPr>
            <w:r>
              <w:rPr>
                <w:b/>
                <w:bCs/>
                <w:sz w:val="20"/>
                <w:szCs w:val="20"/>
                <w:highlight w:val="white"/>
              </w:rPr>
              <w:t>врачи по рентгенваскулярной диагностике и лечению</w:t>
            </w:r>
          </w:p>
        </w:tc>
        <w:tc>
          <w:tcPr>
            <w:tcW w:w="2156" w:type="dxa"/>
            <w:tcBorders>
              <w:top w:val="single" w:sz="4" w:space="0" w:color="000000"/>
              <w:left w:val="single" w:sz="4" w:space="0" w:color="000000"/>
              <w:bottom w:val="single" w:sz="4" w:space="0" w:color="000000"/>
              <w:right w:val="single" w:sz="4" w:space="0" w:color="000000"/>
            </w:tcBorders>
            <w:vAlign w:val="center"/>
            <w:hideMark/>
          </w:tcPr>
          <w:p w:rsidR="00ED7F17" w:rsidRDefault="00ED7F17">
            <w:pPr>
              <w:jc w:val="center"/>
              <w:rPr>
                <w:rFonts w:ascii="Arial" w:eastAsia="Arial" w:hAnsi="Arial" w:cs="Arial"/>
                <w:sz w:val="22"/>
                <w:szCs w:val="22"/>
              </w:rPr>
            </w:pPr>
            <w:r>
              <w:rPr>
                <w:b/>
                <w:bCs/>
                <w:sz w:val="20"/>
                <w:szCs w:val="20"/>
                <w:highlight w:val="white"/>
              </w:rPr>
              <w:t>нейрохирурги</w:t>
            </w:r>
          </w:p>
        </w:tc>
      </w:tr>
      <w:tr w:rsidR="00ED7F17" w:rsidTr="00ED7F17">
        <w:tc>
          <w:tcPr>
            <w:tcW w:w="3119" w:type="dxa"/>
            <w:tcBorders>
              <w:top w:val="single" w:sz="4" w:space="0" w:color="000000"/>
              <w:left w:val="single" w:sz="4" w:space="0" w:color="000000"/>
              <w:bottom w:val="single" w:sz="4" w:space="0" w:color="000000"/>
              <w:right w:val="nil"/>
            </w:tcBorders>
            <w:hideMark/>
          </w:tcPr>
          <w:p w:rsidR="00ED7F17" w:rsidRDefault="00ED7F17">
            <w:pPr>
              <w:rPr>
                <w:rFonts w:ascii="Arial" w:eastAsia="Arial" w:hAnsi="Arial" w:cs="Arial"/>
                <w:sz w:val="22"/>
                <w:szCs w:val="22"/>
              </w:rPr>
            </w:pPr>
            <w:r>
              <w:rPr>
                <w:b/>
                <w:bCs/>
                <w:sz w:val="20"/>
                <w:szCs w:val="20"/>
                <w:highlight w:val="white"/>
              </w:rPr>
              <w:t>Штатные должности</w:t>
            </w:r>
          </w:p>
        </w:tc>
        <w:tc>
          <w:tcPr>
            <w:tcW w:w="2126" w:type="dxa"/>
            <w:tcBorders>
              <w:top w:val="single" w:sz="4" w:space="0" w:color="000000"/>
              <w:left w:val="single" w:sz="4" w:space="0" w:color="000000"/>
              <w:bottom w:val="single" w:sz="4" w:space="0" w:color="000000"/>
              <w:right w:val="nil"/>
            </w:tcBorders>
            <w:vAlign w:val="center"/>
            <w:hideMark/>
          </w:tcPr>
          <w:p w:rsidR="00ED7F17" w:rsidRDefault="00ED7F17">
            <w:pPr>
              <w:jc w:val="center"/>
              <w:rPr>
                <w:rFonts w:ascii="Arial" w:eastAsia="Arial" w:hAnsi="Arial" w:cs="Arial"/>
                <w:sz w:val="22"/>
                <w:szCs w:val="22"/>
              </w:rPr>
            </w:pPr>
            <w:r>
              <w:rPr>
                <w:bCs/>
                <w:sz w:val="20"/>
                <w:szCs w:val="20"/>
                <w:highlight w:val="white"/>
              </w:rPr>
              <w:t>33,25</w:t>
            </w:r>
          </w:p>
        </w:tc>
        <w:tc>
          <w:tcPr>
            <w:tcW w:w="2126" w:type="dxa"/>
            <w:tcBorders>
              <w:top w:val="single" w:sz="4" w:space="0" w:color="000000"/>
              <w:left w:val="single" w:sz="4" w:space="0" w:color="000000"/>
              <w:bottom w:val="single" w:sz="4" w:space="0" w:color="000000"/>
              <w:right w:val="nil"/>
            </w:tcBorders>
            <w:vAlign w:val="center"/>
            <w:hideMark/>
          </w:tcPr>
          <w:p w:rsidR="00ED7F17" w:rsidRDefault="00ED7F17">
            <w:pPr>
              <w:jc w:val="center"/>
              <w:rPr>
                <w:rFonts w:ascii="Arial" w:eastAsia="Arial" w:hAnsi="Arial" w:cs="Arial"/>
                <w:sz w:val="22"/>
                <w:szCs w:val="22"/>
              </w:rPr>
            </w:pPr>
            <w:r>
              <w:rPr>
                <w:bCs/>
                <w:sz w:val="20"/>
                <w:szCs w:val="20"/>
                <w:highlight w:val="white"/>
              </w:rPr>
              <w:t>22,75</w:t>
            </w:r>
          </w:p>
        </w:tc>
        <w:tc>
          <w:tcPr>
            <w:tcW w:w="2156" w:type="dxa"/>
            <w:tcBorders>
              <w:top w:val="single" w:sz="4" w:space="0" w:color="000000"/>
              <w:left w:val="single" w:sz="4" w:space="0" w:color="000000"/>
              <w:bottom w:val="single" w:sz="4" w:space="0" w:color="000000"/>
              <w:right w:val="single" w:sz="4" w:space="0" w:color="000000"/>
            </w:tcBorders>
            <w:vAlign w:val="center"/>
            <w:hideMark/>
          </w:tcPr>
          <w:p w:rsidR="00ED7F17" w:rsidRDefault="00ED7F17">
            <w:pPr>
              <w:jc w:val="center"/>
              <w:rPr>
                <w:rFonts w:ascii="Arial" w:eastAsia="Arial" w:hAnsi="Arial" w:cs="Arial"/>
                <w:sz w:val="22"/>
                <w:szCs w:val="22"/>
              </w:rPr>
            </w:pPr>
            <w:r>
              <w:rPr>
                <w:bCs/>
                <w:sz w:val="20"/>
                <w:szCs w:val="20"/>
                <w:highlight w:val="white"/>
              </w:rPr>
              <w:t>40,5</w:t>
            </w:r>
          </w:p>
        </w:tc>
      </w:tr>
      <w:tr w:rsidR="00ED7F17" w:rsidTr="00ED7F17">
        <w:tc>
          <w:tcPr>
            <w:tcW w:w="3119" w:type="dxa"/>
            <w:tcBorders>
              <w:top w:val="single" w:sz="4" w:space="0" w:color="000000"/>
              <w:left w:val="single" w:sz="4" w:space="0" w:color="000000"/>
              <w:bottom w:val="single" w:sz="4" w:space="0" w:color="000000"/>
              <w:right w:val="nil"/>
            </w:tcBorders>
            <w:hideMark/>
          </w:tcPr>
          <w:p w:rsidR="00ED7F17" w:rsidRDefault="00ED7F17">
            <w:pPr>
              <w:rPr>
                <w:rFonts w:ascii="Arial" w:eastAsia="Arial" w:hAnsi="Arial" w:cs="Arial"/>
                <w:sz w:val="22"/>
                <w:szCs w:val="22"/>
              </w:rPr>
            </w:pPr>
            <w:r>
              <w:rPr>
                <w:b/>
                <w:bCs/>
                <w:sz w:val="20"/>
                <w:szCs w:val="20"/>
                <w:highlight w:val="white"/>
              </w:rPr>
              <w:t>Занятые должности</w:t>
            </w:r>
          </w:p>
        </w:tc>
        <w:tc>
          <w:tcPr>
            <w:tcW w:w="2126" w:type="dxa"/>
            <w:tcBorders>
              <w:top w:val="single" w:sz="4" w:space="0" w:color="000000"/>
              <w:left w:val="single" w:sz="4" w:space="0" w:color="000000"/>
              <w:bottom w:val="single" w:sz="4" w:space="0" w:color="000000"/>
              <w:right w:val="nil"/>
            </w:tcBorders>
            <w:vAlign w:val="center"/>
            <w:hideMark/>
          </w:tcPr>
          <w:p w:rsidR="00ED7F17" w:rsidRDefault="00ED7F17">
            <w:pPr>
              <w:jc w:val="center"/>
              <w:rPr>
                <w:rFonts w:ascii="Arial" w:eastAsia="Arial" w:hAnsi="Arial" w:cs="Arial"/>
                <w:sz w:val="22"/>
                <w:szCs w:val="22"/>
              </w:rPr>
            </w:pPr>
            <w:r>
              <w:rPr>
                <w:bCs/>
                <w:sz w:val="20"/>
                <w:szCs w:val="20"/>
                <w:highlight w:val="white"/>
              </w:rPr>
              <w:t>32,25</w:t>
            </w:r>
          </w:p>
        </w:tc>
        <w:tc>
          <w:tcPr>
            <w:tcW w:w="2126" w:type="dxa"/>
            <w:tcBorders>
              <w:top w:val="single" w:sz="4" w:space="0" w:color="000000"/>
              <w:left w:val="single" w:sz="4" w:space="0" w:color="000000"/>
              <w:bottom w:val="single" w:sz="4" w:space="0" w:color="000000"/>
              <w:right w:val="nil"/>
            </w:tcBorders>
            <w:vAlign w:val="center"/>
            <w:hideMark/>
          </w:tcPr>
          <w:p w:rsidR="00ED7F17" w:rsidRDefault="00ED7F17">
            <w:pPr>
              <w:jc w:val="center"/>
              <w:rPr>
                <w:rFonts w:ascii="Arial" w:eastAsia="Arial" w:hAnsi="Arial" w:cs="Arial"/>
                <w:sz w:val="22"/>
                <w:szCs w:val="22"/>
              </w:rPr>
            </w:pPr>
            <w:r>
              <w:rPr>
                <w:bCs/>
                <w:sz w:val="20"/>
                <w:szCs w:val="20"/>
                <w:highlight w:val="white"/>
              </w:rPr>
              <w:t>15,75</w:t>
            </w:r>
          </w:p>
        </w:tc>
        <w:tc>
          <w:tcPr>
            <w:tcW w:w="2156" w:type="dxa"/>
            <w:tcBorders>
              <w:top w:val="single" w:sz="4" w:space="0" w:color="000000"/>
              <w:left w:val="single" w:sz="4" w:space="0" w:color="000000"/>
              <w:bottom w:val="single" w:sz="4" w:space="0" w:color="000000"/>
              <w:right w:val="single" w:sz="4" w:space="0" w:color="000000"/>
            </w:tcBorders>
            <w:vAlign w:val="center"/>
            <w:hideMark/>
          </w:tcPr>
          <w:p w:rsidR="00ED7F17" w:rsidRDefault="00ED7F17">
            <w:pPr>
              <w:jc w:val="center"/>
              <w:rPr>
                <w:rFonts w:ascii="Arial" w:eastAsia="Arial" w:hAnsi="Arial" w:cs="Arial"/>
                <w:sz w:val="22"/>
                <w:szCs w:val="22"/>
              </w:rPr>
            </w:pPr>
            <w:r>
              <w:rPr>
                <w:bCs/>
                <w:sz w:val="20"/>
                <w:szCs w:val="20"/>
                <w:highlight w:val="white"/>
              </w:rPr>
              <w:t>37,5</w:t>
            </w:r>
          </w:p>
        </w:tc>
      </w:tr>
      <w:tr w:rsidR="00ED7F17" w:rsidTr="00ED7F17">
        <w:tc>
          <w:tcPr>
            <w:tcW w:w="3119" w:type="dxa"/>
            <w:tcBorders>
              <w:top w:val="single" w:sz="4" w:space="0" w:color="000000"/>
              <w:left w:val="single" w:sz="4" w:space="0" w:color="000000"/>
              <w:bottom w:val="single" w:sz="4" w:space="0" w:color="000000"/>
              <w:right w:val="nil"/>
            </w:tcBorders>
            <w:hideMark/>
          </w:tcPr>
          <w:p w:rsidR="00ED7F17" w:rsidRDefault="00ED7F17">
            <w:pPr>
              <w:rPr>
                <w:rFonts w:ascii="Arial" w:eastAsia="Arial" w:hAnsi="Arial" w:cs="Arial"/>
                <w:sz w:val="22"/>
                <w:szCs w:val="22"/>
              </w:rPr>
            </w:pPr>
            <w:r>
              <w:rPr>
                <w:b/>
                <w:bCs/>
                <w:sz w:val="20"/>
                <w:szCs w:val="20"/>
                <w:highlight w:val="white"/>
              </w:rPr>
              <w:t>Количество врачей (физических лиц) на занятых должностях</w:t>
            </w:r>
          </w:p>
        </w:tc>
        <w:tc>
          <w:tcPr>
            <w:tcW w:w="2126" w:type="dxa"/>
            <w:tcBorders>
              <w:top w:val="single" w:sz="4" w:space="0" w:color="000000"/>
              <w:left w:val="single" w:sz="4" w:space="0" w:color="000000"/>
              <w:bottom w:val="single" w:sz="4" w:space="0" w:color="000000"/>
              <w:right w:val="nil"/>
            </w:tcBorders>
            <w:vAlign w:val="center"/>
            <w:hideMark/>
          </w:tcPr>
          <w:p w:rsidR="00ED7F17" w:rsidRDefault="00ED7F17">
            <w:pPr>
              <w:jc w:val="center"/>
              <w:rPr>
                <w:rFonts w:ascii="Arial" w:eastAsia="Arial" w:hAnsi="Arial" w:cs="Arial"/>
                <w:sz w:val="22"/>
                <w:szCs w:val="22"/>
              </w:rPr>
            </w:pPr>
            <w:r>
              <w:rPr>
                <w:bCs/>
                <w:sz w:val="20"/>
                <w:szCs w:val="20"/>
                <w:highlight w:val="white"/>
              </w:rPr>
              <w:t>26</w:t>
            </w:r>
          </w:p>
        </w:tc>
        <w:tc>
          <w:tcPr>
            <w:tcW w:w="2126" w:type="dxa"/>
            <w:tcBorders>
              <w:top w:val="single" w:sz="4" w:space="0" w:color="000000"/>
              <w:left w:val="single" w:sz="4" w:space="0" w:color="000000"/>
              <w:bottom w:val="single" w:sz="4" w:space="0" w:color="000000"/>
              <w:right w:val="nil"/>
            </w:tcBorders>
            <w:vAlign w:val="center"/>
            <w:hideMark/>
          </w:tcPr>
          <w:p w:rsidR="00ED7F17" w:rsidRDefault="00ED7F17">
            <w:pPr>
              <w:jc w:val="center"/>
              <w:rPr>
                <w:rFonts w:ascii="Arial" w:eastAsia="Arial" w:hAnsi="Arial" w:cs="Arial"/>
                <w:sz w:val="22"/>
                <w:szCs w:val="22"/>
              </w:rPr>
            </w:pPr>
            <w:r>
              <w:rPr>
                <w:bCs/>
                <w:sz w:val="20"/>
                <w:szCs w:val="20"/>
                <w:highlight w:val="white"/>
              </w:rPr>
              <w:t>13</w:t>
            </w:r>
          </w:p>
        </w:tc>
        <w:tc>
          <w:tcPr>
            <w:tcW w:w="2156" w:type="dxa"/>
            <w:tcBorders>
              <w:top w:val="single" w:sz="4" w:space="0" w:color="000000"/>
              <w:left w:val="single" w:sz="4" w:space="0" w:color="000000"/>
              <w:bottom w:val="single" w:sz="4" w:space="0" w:color="000000"/>
              <w:right w:val="single" w:sz="4" w:space="0" w:color="000000"/>
            </w:tcBorders>
            <w:vAlign w:val="center"/>
            <w:hideMark/>
          </w:tcPr>
          <w:p w:rsidR="00ED7F17" w:rsidRDefault="00ED7F17">
            <w:pPr>
              <w:jc w:val="center"/>
              <w:rPr>
                <w:rFonts w:ascii="Arial" w:eastAsia="Arial" w:hAnsi="Arial" w:cs="Arial"/>
                <w:sz w:val="22"/>
                <w:szCs w:val="22"/>
              </w:rPr>
            </w:pPr>
            <w:r>
              <w:rPr>
                <w:bCs/>
                <w:sz w:val="20"/>
                <w:szCs w:val="20"/>
                <w:highlight w:val="white"/>
              </w:rPr>
              <w:t>28</w:t>
            </w:r>
          </w:p>
        </w:tc>
      </w:tr>
      <w:tr w:rsidR="00ED7F17" w:rsidTr="00ED7F17">
        <w:tc>
          <w:tcPr>
            <w:tcW w:w="3119" w:type="dxa"/>
            <w:tcBorders>
              <w:top w:val="single" w:sz="4" w:space="0" w:color="000000"/>
              <w:left w:val="single" w:sz="4" w:space="0" w:color="000000"/>
              <w:bottom w:val="single" w:sz="4" w:space="0" w:color="000000"/>
              <w:right w:val="nil"/>
            </w:tcBorders>
            <w:hideMark/>
          </w:tcPr>
          <w:p w:rsidR="00ED7F17" w:rsidRDefault="00ED7F17">
            <w:pPr>
              <w:rPr>
                <w:rFonts w:ascii="Arial" w:eastAsia="Arial" w:hAnsi="Arial" w:cs="Arial"/>
                <w:sz w:val="22"/>
                <w:szCs w:val="22"/>
              </w:rPr>
            </w:pPr>
            <w:r>
              <w:rPr>
                <w:b/>
                <w:bCs/>
                <w:sz w:val="20"/>
                <w:szCs w:val="20"/>
                <w:highlight w:val="white"/>
              </w:rPr>
              <w:t>Укомплектованность штатных должностей, %:</w:t>
            </w:r>
          </w:p>
        </w:tc>
        <w:tc>
          <w:tcPr>
            <w:tcW w:w="2126" w:type="dxa"/>
            <w:tcBorders>
              <w:top w:val="single" w:sz="4" w:space="0" w:color="000000"/>
              <w:left w:val="single" w:sz="4" w:space="0" w:color="000000"/>
              <w:bottom w:val="single" w:sz="4" w:space="0" w:color="000000"/>
              <w:right w:val="nil"/>
            </w:tcBorders>
            <w:vAlign w:val="center"/>
          </w:tcPr>
          <w:p w:rsidR="00ED7F17" w:rsidRDefault="00ED7F17">
            <w:pPr>
              <w:snapToGrid w:val="0"/>
              <w:jc w:val="center"/>
              <w:rPr>
                <w:rFonts w:eastAsia="Arial"/>
                <w:b/>
                <w:bCs/>
                <w:sz w:val="20"/>
                <w:szCs w:val="20"/>
                <w:highlight w:val="white"/>
              </w:rPr>
            </w:pPr>
          </w:p>
        </w:tc>
        <w:tc>
          <w:tcPr>
            <w:tcW w:w="2126" w:type="dxa"/>
            <w:tcBorders>
              <w:top w:val="single" w:sz="4" w:space="0" w:color="000000"/>
              <w:left w:val="single" w:sz="4" w:space="0" w:color="000000"/>
              <w:bottom w:val="single" w:sz="4" w:space="0" w:color="000000"/>
              <w:right w:val="nil"/>
            </w:tcBorders>
            <w:vAlign w:val="center"/>
          </w:tcPr>
          <w:p w:rsidR="00ED7F17" w:rsidRDefault="00ED7F17">
            <w:pPr>
              <w:snapToGrid w:val="0"/>
              <w:jc w:val="center"/>
              <w:rPr>
                <w:rFonts w:eastAsia="Arial"/>
                <w:b/>
                <w:bCs/>
                <w:sz w:val="20"/>
                <w:szCs w:val="20"/>
                <w:highlight w:val="white"/>
              </w:rPr>
            </w:pPr>
          </w:p>
        </w:tc>
        <w:tc>
          <w:tcPr>
            <w:tcW w:w="2156" w:type="dxa"/>
            <w:tcBorders>
              <w:top w:val="single" w:sz="4" w:space="0" w:color="000000"/>
              <w:left w:val="single" w:sz="4" w:space="0" w:color="000000"/>
              <w:bottom w:val="single" w:sz="4" w:space="0" w:color="000000"/>
              <w:right w:val="single" w:sz="4" w:space="0" w:color="000000"/>
            </w:tcBorders>
            <w:vAlign w:val="center"/>
          </w:tcPr>
          <w:p w:rsidR="00ED7F17" w:rsidRDefault="00ED7F17">
            <w:pPr>
              <w:snapToGrid w:val="0"/>
              <w:jc w:val="center"/>
              <w:rPr>
                <w:rFonts w:eastAsia="Arial"/>
                <w:b/>
                <w:bCs/>
                <w:sz w:val="20"/>
                <w:szCs w:val="20"/>
                <w:highlight w:val="white"/>
              </w:rPr>
            </w:pPr>
          </w:p>
        </w:tc>
      </w:tr>
      <w:tr w:rsidR="00ED7F17" w:rsidTr="00ED7F17">
        <w:tc>
          <w:tcPr>
            <w:tcW w:w="3119" w:type="dxa"/>
            <w:tcBorders>
              <w:top w:val="single" w:sz="4" w:space="0" w:color="000000"/>
              <w:left w:val="single" w:sz="4" w:space="0" w:color="000000"/>
              <w:bottom w:val="single" w:sz="4" w:space="0" w:color="000000"/>
              <w:right w:val="nil"/>
            </w:tcBorders>
            <w:hideMark/>
          </w:tcPr>
          <w:p w:rsidR="00ED7F17" w:rsidRDefault="00ED7F17">
            <w:pPr>
              <w:rPr>
                <w:rFonts w:ascii="Arial" w:eastAsia="Arial" w:hAnsi="Arial" w:cs="Arial"/>
                <w:sz w:val="22"/>
                <w:szCs w:val="22"/>
              </w:rPr>
            </w:pPr>
            <w:r>
              <w:rPr>
                <w:b/>
                <w:bCs/>
                <w:sz w:val="20"/>
                <w:szCs w:val="20"/>
                <w:highlight w:val="white"/>
              </w:rPr>
              <w:t>занятыми ставками</w:t>
            </w:r>
          </w:p>
        </w:tc>
        <w:tc>
          <w:tcPr>
            <w:tcW w:w="2126" w:type="dxa"/>
            <w:tcBorders>
              <w:top w:val="single" w:sz="4" w:space="0" w:color="000000"/>
              <w:left w:val="single" w:sz="4" w:space="0" w:color="000000"/>
              <w:bottom w:val="single" w:sz="4" w:space="0" w:color="000000"/>
              <w:right w:val="nil"/>
            </w:tcBorders>
            <w:vAlign w:val="center"/>
            <w:hideMark/>
          </w:tcPr>
          <w:p w:rsidR="00ED7F17" w:rsidRDefault="00ED7F17">
            <w:pPr>
              <w:jc w:val="center"/>
              <w:rPr>
                <w:rFonts w:ascii="Arial" w:eastAsia="Arial" w:hAnsi="Arial" w:cs="Arial"/>
                <w:sz w:val="22"/>
                <w:szCs w:val="22"/>
              </w:rPr>
            </w:pPr>
            <w:r>
              <w:rPr>
                <w:bCs/>
                <w:sz w:val="20"/>
                <w:szCs w:val="20"/>
                <w:highlight w:val="white"/>
              </w:rPr>
              <w:t>97,0</w:t>
            </w:r>
          </w:p>
        </w:tc>
        <w:tc>
          <w:tcPr>
            <w:tcW w:w="2126" w:type="dxa"/>
            <w:tcBorders>
              <w:top w:val="single" w:sz="4" w:space="0" w:color="000000"/>
              <w:left w:val="single" w:sz="4" w:space="0" w:color="000000"/>
              <w:bottom w:val="single" w:sz="4" w:space="0" w:color="000000"/>
              <w:right w:val="nil"/>
            </w:tcBorders>
            <w:vAlign w:val="center"/>
            <w:hideMark/>
          </w:tcPr>
          <w:p w:rsidR="00ED7F17" w:rsidRDefault="00ED7F17">
            <w:pPr>
              <w:jc w:val="center"/>
              <w:rPr>
                <w:rFonts w:ascii="Arial" w:eastAsia="Arial" w:hAnsi="Arial" w:cs="Arial"/>
                <w:sz w:val="22"/>
                <w:szCs w:val="22"/>
              </w:rPr>
            </w:pPr>
            <w:r>
              <w:rPr>
                <w:bCs/>
                <w:sz w:val="20"/>
                <w:szCs w:val="20"/>
                <w:highlight w:val="white"/>
              </w:rPr>
              <w:t>69,2</w:t>
            </w:r>
          </w:p>
        </w:tc>
        <w:tc>
          <w:tcPr>
            <w:tcW w:w="2156" w:type="dxa"/>
            <w:tcBorders>
              <w:top w:val="single" w:sz="4" w:space="0" w:color="000000"/>
              <w:left w:val="single" w:sz="4" w:space="0" w:color="000000"/>
              <w:bottom w:val="single" w:sz="4" w:space="0" w:color="000000"/>
              <w:right w:val="single" w:sz="4" w:space="0" w:color="000000"/>
            </w:tcBorders>
            <w:vAlign w:val="center"/>
            <w:hideMark/>
          </w:tcPr>
          <w:p w:rsidR="00ED7F17" w:rsidRDefault="00ED7F17">
            <w:pPr>
              <w:jc w:val="center"/>
              <w:rPr>
                <w:rFonts w:ascii="Arial" w:eastAsia="Arial" w:hAnsi="Arial" w:cs="Arial"/>
                <w:sz w:val="22"/>
                <w:szCs w:val="22"/>
              </w:rPr>
            </w:pPr>
            <w:r>
              <w:rPr>
                <w:bCs/>
                <w:sz w:val="20"/>
                <w:szCs w:val="20"/>
                <w:highlight w:val="white"/>
              </w:rPr>
              <w:t>92,6</w:t>
            </w:r>
          </w:p>
        </w:tc>
      </w:tr>
      <w:tr w:rsidR="00ED7F17" w:rsidTr="00ED7F17">
        <w:tc>
          <w:tcPr>
            <w:tcW w:w="3119" w:type="dxa"/>
            <w:tcBorders>
              <w:top w:val="single" w:sz="4" w:space="0" w:color="000000"/>
              <w:left w:val="single" w:sz="4" w:space="0" w:color="000000"/>
              <w:bottom w:val="single" w:sz="4" w:space="0" w:color="000000"/>
              <w:right w:val="nil"/>
            </w:tcBorders>
            <w:hideMark/>
          </w:tcPr>
          <w:p w:rsidR="00ED7F17" w:rsidRDefault="00ED7F17">
            <w:pPr>
              <w:rPr>
                <w:rFonts w:ascii="Arial" w:eastAsia="Arial" w:hAnsi="Arial" w:cs="Arial"/>
                <w:sz w:val="22"/>
                <w:szCs w:val="22"/>
              </w:rPr>
            </w:pPr>
            <w:r>
              <w:rPr>
                <w:b/>
                <w:bCs/>
                <w:sz w:val="20"/>
                <w:szCs w:val="20"/>
                <w:highlight w:val="white"/>
              </w:rPr>
              <w:t>физическими лицами</w:t>
            </w:r>
          </w:p>
        </w:tc>
        <w:tc>
          <w:tcPr>
            <w:tcW w:w="2126" w:type="dxa"/>
            <w:tcBorders>
              <w:top w:val="single" w:sz="4" w:space="0" w:color="000000"/>
              <w:left w:val="single" w:sz="4" w:space="0" w:color="000000"/>
              <w:bottom w:val="single" w:sz="4" w:space="0" w:color="000000"/>
              <w:right w:val="nil"/>
            </w:tcBorders>
            <w:vAlign w:val="center"/>
            <w:hideMark/>
          </w:tcPr>
          <w:p w:rsidR="00ED7F17" w:rsidRDefault="00ED7F17">
            <w:pPr>
              <w:jc w:val="center"/>
              <w:rPr>
                <w:rFonts w:ascii="Arial" w:eastAsia="Arial" w:hAnsi="Arial" w:cs="Arial"/>
                <w:sz w:val="22"/>
                <w:szCs w:val="22"/>
              </w:rPr>
            </w:pPr>
            <w:r>
              <w:rPr>
                <w:bCs/>
                <w:sz w:val="20"/>
                <w:szCs w:val="20"/>
                <w:highlight w:val="white"/>
              </w:rPr>
              <w:t>78,2</w:t>
            </w:r>
          </w:p>
        </w:tc>
        <w:tc>
          <w:tcPr>
            <w:tcW w:w="2126" w:type="dxa"/>
            <w:tcBorders>
              <w:top w:val="single" w:sz="4" w:space="0" w:color="000000"/>
              <w:left w:val="single" w:sz="4" w:space="0" w:color="000000"/>
              <w:bottom w:val="single" w:sz="4" w:space="0" w:color="000000"/>
              <w:right w:val="nil"/>
            </w:tcBorders>
            <w:vAlign w:val="center"/>
            <w:hideMark/>
          </w:tcPr>
          <w:p w:rsidR="00ED7F17" w:rsidRDefault="00ED7F17">
            <w:pPr>
              <w:jc w:val="center"/>
              <w:rPr>
                <w:rFonts w:ascii="Arial" w:eastAsia="Arial" w:hAnsi="Arial" w:cs="Arial"/>
                <w:sz w:val="22"/>
                <w:szCs w:val="22"/>
              </w:rPr>
            </w:pPr>
            <w:r>
              <w:rPr>
                <w:bCs/>
                <w:sz w:val="20"/>
                <w:szCs w:val="20"/>
                <w:highlight w:val="white"/>
              </w:rPr>
              <w:t>57,1</w:t>
            </w:r>
          </w:p>
        </w:tc>
        <w:tc>
          <w:tcPr>
            <w:tcW w:w="2156" w:type="dxa"/>
            <w:tcBorders>
              <w:top w:val="single" w:sz="4" w:space="0" w:color="000000"/>
              <w:left w:val="single" w:sz="4" w:space="0" w:color="000000"/>
              <w:bottom w:val="single" w:sz="4" w:space="0" w:color="000000"/>
              <w:right w:val="single" w:sz="4" w:space="0" w:color="000000"/>
            </w:tcBorders>
            <w:vAlign w:val="center"/>
            <w:hideMark/>
          </w:tcPr>
          <w:p w:rsidR="00ED7F17" w:rsidRDefault="00ED7F17">
            <w:pPr>
              <w:jc w:val="center"/>
              <w:rPr>
                <w:rFonts w:ascii="Arial" w:eastAsia="Arial" w:hAnsi="Arial" w:cs="Arial"/>
                <w:sz w:val="22"/>
                <w:szCs w:val="22"/>
              </w:rPr>
            </w:pPr>
            <w:r>
              <w:rPr>
                <w:bCs/>
                <w:sz w:val="20"/>
                <w:szCs w:val="20"/>
                <w:highlight w:val="white"/>
              </w:rPr>
              <w:t>69,1</w:t>
            </w:r>
          </w:p>
        </w:tc>
      </w:tr>
      <w:tr w:rsidR="00ED7F17" w:rsidTr="00ED7F17">
        <w:tc>
          <w:tcPr>
            <w:tcW w:w="3119" w:type="dxa"/>
            <w:tcBorders>
              <w:top w:val="single" w:sz="4" w:space="0" w:color="000000"/>
              <w:left w:val="single" w:sz="4" w:space="0" w:color="000000"/>
              <w:bottom w:val="single" w:sz="4" w:space="0" w:color="000000"/>
              <w:right w:val="nil"/>
            </w:tcBorders>
            <w:hideMark/>
          </w:tcPr>
          <w:p w:rsidR="00ED7F17" w:rsidRDefault="00ED7F17">
            <w:pPr>
              <w:rPr>
                <w:rFonts w:ascii="Arial" w:eastAsia="Arial" w:hAnsi="Arial" w:cs="Arial"/>
                <w:sz w:val="22"/>
                <w:szCs w:val="22"/>
              </w:rPr>
            </w:pPr>
            <w:r>
              <w:rPr>
                <w:b/>
                <w:bCs/>
                <w:sz w:val="20"/>
                <w:szCs w:val="20"/>
                <w:highlight w:val="white"/>
              </w:rPr>
              <w:t>Коэффициент совместительства</w:t>
            </w:r>
          </w:p>
        </w:tc>
        <w:tc>
          <w:tcPr>
            <w:tcW w:w="2126" w:type="dxa"/>
            <w:tcBorders>
              <w:top w:val="single" w:sz="4" w:space="0" w:color="000000"/>
              <w:left w:val="single" w:sz="4" w:space="0" w:color="000000"/>
              <w:bottom w:val="single" w:sz="4" w:space="0" w:color="000000"/>
              <w:right w:val="nil"/>
            </w:tcBorders>
            <w:vAlign w:val="center"/>
            <w:hideMark/>
          </w:tcPr>
          <w:p w:rsidR="00ED7F17" w:rsidRDefault="00ED7F17">
            <w:pPr>
              <w:jc w:val="center"/>
              <w:rPr>
                <w:rFonts w:ascii="Arial" w:eastAsia="Arial" w:hAnsi="Arial" w:cs="Arial"/>
                <w:sz w:val="22"/>
                <w:szCs w:val="22"/>
              </w:rPr>
            </w:pPr>
            <w:r>
              <w:rPr>
                <w:bCs/>
                <w:sz w:val="20"/>
                <w:szCs w:val="20"/>
                <w:highlight w:val="white"/>
              </w:rPr>
              <w:t>1,2</w:t>
            </w:r>
          </w:p>
        </w:tc>
        <w:tc>
          <w:tcPr>
            <w:tcW w:w="2126" w:type="dxa"/>
            <w:tcBorders>
              <w:top w:val="single" w:sz="4" w:space="0" w:color="000000"/>
              <w:left w:val="single" w:sz="4" w:space="0" w:color="000000"/>
              <w:bottom w:val="single" w:sz="4" w:space="0" w:color="000000"/>
              <w:right w:val="nil"/>
            </w:tcBorders>
            <w:vAlign w:val="center"/>
            <w:hideMark/>
          </w:tcPr>
          <w:p w:rsidR="00ED7F17" w:rsidRDefault="00ED7F17">
            <w:pPr>
              <w:jc w:val="center"/>
              <w:rPr>
                <w:rFonts w:ascii="Arial" w:eastAsia="Arial" w:hAnsi="Arial" w:cs="Arial"/>
                <w:sz w:val="22"/>
                <w:szCs w:val="22"/>
              </w:rPr>
            </w:pPr>
            <w:r>
              <w:rPr>
                <w:bCs/>
                <w:sz w:val="20"/>
                <w:szCs w:val="20"/>
                <w:highlight w:val="white"/>
              </w:rPr>
              <w:t>1,2</w:t>
            </w:r>
          </w:p>
        </w:tc>
        <w:tc>
          <w:tcPr>
            <w:tcW w:w="2156" w:type="dxa"/>
            <w:tcBorders>
              <w:top w:val="single" w:sz="4" w:space="0" w:color="000000"/>
              <w:left w:val="single" w:sz="4" w:space="0" w:color="000000"/>
              <w:bottom w:val="single" w:sz="4" w:space="0" w:color="000000"/>
              <w:right w:val="single" w:sz="4" w:space="0" w:color="000000"/>
            </w:tcBorders>
            <w:vAlign w:val="center"/>
            <w:hideMark/>
          </w:tcPr>
          <w:p w:rsidR="00ED7F17" w:rsidRDefault="00ED7F17">
            <w:pPr>
              <w:jc w:val="center"/>
              <w:rPr>
                <w:rFonts w:ascii="Arial" w:eastAsia="Arial" w:hAnsi="Arial" w:cs="Arial"/>
                <w:sz w:val="22"/>
                <w:szCs w:val="22"/>
              </w:rPr>
            </w:pPr>
            <w:r>
              <w:rPr>
                <w:bCs/>
                <w:sz w:val="20"/>
                <w:szCs w:val="20"/>
                <w:highlight w:val="white"/>
              </w:rPr>
              <w:t>1,3</w:t>
            </w:r>
          </w:p>
        </w:tc>
      </w:tr>
      <w:tr w:rsidR="00ED7F17" w:rsidTr="00ED7F17">
        <w:tc>
          <w:tcPr>
            <w:tcW w:w="3119" w:type="dxa"/>
            <w:tcBorders>
              <w:top w:val="single" w:sz="4" w:space="0" w:color="000000"/>
              <w:left w:val="single" w:sz="4" w:space="0" w:color="000000"/>
              <w:bottom w:val="single" w:sz="4" w:space="0" w:color="000000"/>
              <w:right w:val="nil"/>
            </w:tcBorders>
            <w:hideMark/>
          </w:tcPr>
          <w:p w:rsidR="00ED7F17" w:rsidRDefault="00ED7F17">
            <w:pPr>
              <w:rPr>
                <w:rFonts w:ascii="Arial" w:eastAsia="Arial" w:hAnsi="Arial" w:cs="Arial"/>
                <w:sz w:val="22"/>
                <w:szCs w:val="22"/>
              </w:rPr>
            </w:pPr>
            <w:r>
              <w:rPr>
                <w:b/>
                <w:bCs/>
                <w:sz w:val="20"/>
                <w:szCs w:val="20"/>
                <w:highlight w:val="white"/>
              </w:rPr>
              <w:t>Обеспеченность, на 10 тыс. взрослого населения</w:t>
            </w:r>
          </w:p>
        </w:tc>
        <w:tc>
          <w:tcPr>
            <w:tcW w:w="2126" w:type="dxa"/>
            <w:tcBorders>
              <w:top w:val="single" w:sz="4" w:space="0" w:color="000000"/>
              <w:left w:val="single" w:sz="4" w:space="0" w:color="000000"/>
              <w:bottom w:val="single" w:sz="4" w:space="0" w:color="000000"/>
              <w:right w:val="nil"/>
            </w:tcBorders>
            <w:vAlign w:val="center"/>
            <w:hideMark/>
          </w:tcPr>
          <w:p w:rsidR="00ED7F17" w:rsidRDefault="00ED7F17">
            <w:pPr>
              <w:ind w:left="-108" w:right="-108"/>
              <w:jc w:val="center"/>
              <w:rPr>
                <w:rFonts w:ascii="Arial" w:eastAsia="Arial" w:hAnsi="Arial" w:cs="Arial"/>
                <w:sz w:val="22"/>
                <w:szCs w:val="22"/>
              </w:rPr>
            </w:pPr>
            <w:r>
              <w:rPr>
                <w:bCs/>
                <w:sz w:val="20"/>
                <w:szCs w:val="20"/>
                <w:highlight w:val="white"/>
              </w:rPr>
              <w:t>1,26</w:t>
            </w:r>
          </w:p>
          <w:p w:rsidR="00ED7F17" w:rsidRDefault="00ED7F17">
            <w:pPr>
              <w:ind w:left="-108" w:right="-108"/>
              <w:jc w:val="center"/>
              <w:rPr>
                <w:rFonts w:ascii="Arial" w:eastAsia="Arial" w:hAnsi="Arial" w:cs="Arial"/>
                <w:sz w:val="22"/>
                <w:szCs w:val="22"/>
              </w:rPr>
            </w:pPr>
            <w:r>
              <w:rPr>
                <w:bCs/>
                <w:sz w:val="20"/>
                <w:szCs w:val="20"/>
                <w:highlight w:val="white"/>
              </w:rPr>
              <w:t>(РФ – 0,17, ЮФО – 0,15)</w:t>
            </w:r>
          </w:p>
        </w:tc>
        <w:tc>
          <w:tcPr>
            <w:tcW w:w="2126" w:type="dxa"/>
            <w:tcBorders>
              <w:top w:val="single" w:sz="4" w:space="0" w:color="000000"/>
              <w:left w:val="single" w:sz="4" w:space="0" w:color="000000"/>
              <w:bottom w:val="single" w:sz="4" w:space="0" w:color="000000"/>
              <w:right w:val="nil"/>
            </w:tcBorders>
            <w:vAlign w:val="center"/>
            <w:hideMark/>
          </w:tcPr>
          <w:p w:rsidR="00ED7F17" w:rsidRDefault="00ED7F17">
            <w:pPr>
              <w:ind w:left="-108" w:right="-108"/>
              <w:jc w:val="center"/>
              <w:rPr>
                <w:rFonts w:ascii="Arial" w:eastAsia="Arial" w:hAnsi="Arial" w:cs="Arial"/>
                <w:sz w:val="22"/>
                <w:szCs w:val="22"/>
              </w:rPr>
            </w:pPr>
            <w:r>
              <w:rPr>
                <w:bCs/>
                <w:sz w:val="20"/>
                <w:szCs w:val="20"/>
                <w:highlight w:val="white"/>
              </w:rPr>
              <w:t>0,13</w:t>
            </w:r>
          </w:p>
          <w:p w:rsidR="00ED7F17" w:rsidRDefault="00ED7F17">
            <w:pPr>
              <w:ind w:left="-108" w:right="-108"/>
              <w:jc w:val="center"/>
              <w:rPr>
                <w:rFonts w:ascii="Arial" w:eastAsia="Arial" w:hAnsi="Arial" w:cs="Arial"/>
                <w:sz w:val="22"/>
                <w:szCs w:val="22"/>
              </w:rPr>
            </w:pPr>
            <w:r>
              <w:rPr>
                <w:bCs/>
                <w:sz w:val="20"/>
                <w:szCs w:val="20"/>
                <w:highlight w:val="white"/>
              </w:rPr>
              <w:t>(РФ – 0,07, ЮФО – 0,05)</w:t>
            </w:r>
          </w:p>
        </w:tc>
        <w:tc>
          <w:tcPr>
            <w:tcW w:w="2156" w:type="dxa"/>
            <w:tcBorders>
              <w:top w:val="single" w:sz="4" w:space="0" w:color="000000"/>
              <w:left w:val="single" w:sz="4" w:space="0" w:color="000000"/>
              <w:bottom w:val="single" w:sz="4" w:space="0" w:color="000000"/>
              <w:right w:val="single" w:sz="4" w:space="0" w:color="000000"/>
            </w:tcBorders>
            <w:vAlign w:val="center"/>
            <w:hideMark/>
          </w:tcPr>
          <w:p w:rsidR="00ED7F17" w:rsidRDefault="00ED7F17">
            <w:pPr>
              <w:ind w:left="-108" w:right="-108"/>
              <w:jc w:val="center"/>
              <w:rPr>
                <w:rFonts w:ascii="Arial" w:eastAsia="Arial" w:hAnsi="Arial" w:cs="Arial"/>
                <w:sz w:val="22"/>
                <w:szCs w:val="22"/>
              </w:rPr>
            </w:pPr>
            <w:r>
              <w:rPr>
                <w:bCs/>
                <w:sz w:val="20"/>
                <w:szCs w:val="20"/>
                <w:highlight w:val="white"/>
              </w:rPr>
              <w:t>0,28</w:t>
            </w:r>
          </w:p>
          <w:p w:rsidR="00ED7F17" w:rsidRDefault="00ED7F17">
            <w:pPr>
              <w:ind w:left="-108" w:right="-108"/>
              <w:jc w:val="center"/>
              <w:rPr>
                <w:rFonts w:ascii="Arial" w:eastAsia="Arial" w:hAnsi="Arial" w:cs="Arial"/>
                <w:sz w:val="22"/>
                <w:szCs w:val="22"/>
              </w:rPr>
            </w:pPr>
            <w:r>
              <w:rPr>
                <w:bCs/>
                <w:sz w:val="20"/>
                <w:szCs w:val="20"/>
                <w:highlight w:val="white"/>
              </w:rPr>
              <w:t>(РФ – 0,19, ЮФО – 0,15)</w:t>
            </w:r>
          </w:p>
        </w:tc>
      </w:tr>
    </w:tbl>
    <w:p w:rsidR="00ED7F17" w:rsidRDefault="00ED7F17" w:rsidP="00ED7F17">
      <w:pPr>
        <w:ind w:left="720" w:firstLine="709"/>
        <w:jc w:val="both"/>
        <w:rPr>
          <w:rFonts w:eastAsia="Arial"/>
          <w:b/>
          <w:bCs/>
          <w:highlight w:val="white"/>
        </w:rPr>
      </w:pPr>
    </w:p>
    <w:p w:rsidR="00ED7F17" w:rsidRDefault="00ED7F17" w:rsidP="00ED7F17">
      <w:pPr>
        <w:ind w:left="720" w:firstLine="709"/>
        <w:jc w:val="both"/>
        <w:rPr>
          <w:b/>
          <w:bCs/>
          <w:highlight w:val="white"/>
        </w:rPr>
      </w:pPr>
    </w:p>
    <w:tbl>
      <w:tblPr>
        <w:tblW w:w="0" w:type="auto"/>
        <w:tblLayout w:type="fixed"/>
        <w:tblCellMar>
          <w:left w:w="0" w:type="dxa"/>
          <w:right w:w="0" w:type="dxa"/>
        </w:tblCellMar>
        <w:tblLook w:val="04A0" w:firstRow="1" w:lastRow="0" w:firstColumn="1" w:lastColumn="0" w:noHBand="0" w:noVBand="1"/>
      </w:tblPr>
      <w:tblGrid>
        <w:gridCol w:w="1768"/>
        <w:gridCol w:w="1070"/>
        <w:gridCol w:w="1165"/>
        <w:gridCol w:w="1385"/>
        <w:gridCol w:w="1362"/>
        <w:gridCol w:w="671"/>
        <w:gridCol w:w="1367"/>
        <w:gridCol w:w="1426"/>
        <w:gridCol w:w="141"/>
        <w:gridCol w:w="31"/>
      </w:tblGrid>
      <w:tr w:rsidR="00ED7F17" w:rsidTr="00ED7F17">
        <w:trPr>
          <w:trHeight w:val="443"/>
        </w:trPr>
        <w:tc>
          <w:tcPr>
            <w:tcW w:w="10214" w:type="dxa"/>
            <w:gridSpan w:val="8"/>
            <w:shd w:val="clear" w:color="auto" w:fill="FFFFFF"/>
            <w:vAlign w:val="bottom"/>
          </w:tcPr>
          <w:p w:rsidR="00ED7F17" w:rsidRDefault="00ED7F17">
            <w:pPr>
              <w:jc w:val="center"/>
              <w:rPr>
                <w:rFonts w:ascii="Arial" w:eastAsia="Arial" w:hAnsi="Arial" w:cs="Arial"/>
                <w:sz w:val="22"/>
                <w:szCs w:val="22"/>
              </w:rPr>
            </w:pPr>
            <w:r>
              <w:rPr>
                <w:b/>
                <w:bCs/>
                <w:color w:val="000000"/>
                <w:sz w:val="20"/>
                <w:szCs w:val="20"/>
              </w:rPr>
              <w:t>Информация по кадровому составу регионального сосудистого центра</w:t>
            </w:r>
          </w:p>
          <w:p w:rsidR="00ED7F17" w:rsidRDefault="00ED7F17">
            <w:pPr>
              <w:jc w:val="center"/>
            </w:pPr>
            <w:r>
              <w:rPr>
                <w:b/>
                <w:color w:val="000000"/>
                <w:sz w:val="20"/>
                <w:szCs w:val="20"/>
              </w:rPr>
              <w:t>ГБУЗ АО Александро-Мариинская областная клиническая больница</w:t>
            </w:r>
          </w:p>
          <w:p w:rsidR="00ED7F17" w:rsidRDefault="00ED7F17">
            <w:pPr>
              <w:jc w:val="center"/>
              <w:rPr>
                <w:b/>
                <w:bCs/>
                <w:color w:val="000000"/>
                <w:sz w:val="20"/>
                <w:szCs w:val="20"/>
              </w:rPr>
            </w:pPr>
          </w:p>
        </w:tc>
        <w:tc>
          <w:tcPr>
            <w:tcW w:w="141" w:type="dxa"/>
          </w:tcPr>
          <w:p w:rsidR="00ED7F17" w:rsidRDefault="00ED7F17">
            <w:pPr>
              <w:snapToGrid w:val="0"/>
              <w:spacing w:line="276" w:lineRule="auto"/>
              <w:rPr>
                <w:b/>
                <w:bCs/>
                <w:color w:val="000000"/>
                <w:sz w:val="20"/>
                <w:szCs w:val="20"/>
              </w:rPr>
            </w:pPr>
          </w:p>
        </w:tc>
        <w:tc>
          <w:tcPr>
            <w:tcW w:w="31" w:type="dxa"/>
          </w:tcPr>
          <w:p w:rsidR="00ED7F17" w:rsidRDefault="00ED7F17">
            <w:pPr>
              <w:snapToGrid w:val="0"/>
              <w:spacing w:line="276" w:lineRule="auto"/>
              <w:rPr>
                <w:b/>
                <w:bCs/>
                <w:color w:val="000000"/>
                <w:sz w:val="20"/>
                <w:szCs w:val="20"/>
                <w:u w:val="single"/>
              </w:rPr>
            </w:pPr>
          </w:p>
        </w:tc>
      </w:tr>
      <w:tr w:rsidR="00ED7F17" w:rsidTr="00ED7F17">
        <w:trPr>
          <w:trHeight w:val="112"/>
        </w:trPr>
        <w:tc>
          <w:tcPr>
            <w:tcW w:w="1768" w:type="dxa"/>
            <w:vMerge w:val="restart"/>
            <w:tcBorders>
              <w:top w:val="single" w:sz="8" w:space="0" w:color="000001"/>
              <w:left w:val="single" w:sz="8" w:space="0" w:color="00000A"/>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Наименование должности</w:t>
            </w:r>
          </w:p>
        </w:tc>
        <w:tc>
          <w:tcPr>
            <w:tcW w:w="1070" w:type="dxa"/>
            <w:vMerge w:val="restart"/>
            <w:tcBorders>
              <w:top w:val="single" w:sz="8" w:space="0" w:color="000001"/>
              <w:left w:val="single" w:sz="8" w:space="0" w:color="00000A"/>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Количество штатных должностей</w:t>
            </w:r>
          </w:p>
        </w:tc>
        <w:tc>
          <w:tcPr>
            <w:tcW w:w="3912" w:type="dxa"/>
            <w:gridSpan w:val="3"/>
            <w:tcBorders>
              <w:top w:val="single" w:sz="8" w:space="0" w:color="00000A"/>
              <w:left w:val="single" w:sz="8" w:space="0" w:color="00000A"/>
              <w:bottom w:val="single" w:sz="8" w:space="0" w:color="00000A"/>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Количество занятых должностей</w:t>
            </w:r>
          </w:p>
        </w:tc>
        <w:tc>
          <w:tcPr>
            <w:tcW w:w="2038" w:type="dxa"/>
            <w:gridSpan w:val="2"/>
            <w:tcBorders>
              <w:top w:val="single" w:sz="8" w:space="0" w:color="00000A"/>
              <w:left w:val="single" w:sz="8" w:space="0" w:color="000001"/>
              <w:bottom w:val="single" w:sz="8" w:space="0" w:color="00000A"/>
              <w:right w:val="nil"/>
            </w:tcBorders>
            <w:shd w:val="clear" w:color="auto" w:fill="FFFFFF"/>
            <w:vAlign w:val="center"/>
            <w:hideMark/>
          </w:tcPr>
          <w:p w:rsidR="00ED7F17" w:rsidRDefault="00ED7F17">
            <w:pPr>
              <w:jc w:val="center"/>
              <w:rPr>
                <w:rFonts w:ascii="Arial" w:eastAsia="Arial" w:hAnsi="Arial" w:cs="Arial"/>
                <w:sz w:val="22"/>
                <w:szCs w:val="22"/>
              </w:rPr>
            </w:pPr>
            <w:r>
              <w:rPr>
                <w:color w:val="000000"/>
                <w:sz w:val="20"/>
                <w:szCs w:val="20"/>
              </w:rPr>
              <w:t>Количество физических лиц, чел.</w:t>
            </w:r>
          </w:p>
        </w:tc>
        <w:tc>
          <w:tcPr>
            <w:tcW w:w="1567" w:type="dxa"/>
            <w:gridSpan w:val="2"/>
            <w:vMerge w:val="restart"/>
            <w:tcBorders>
              <w:top w:val="single" w:sz="8" w:space="0" w:color="000001"/>
              <w:left w:val="single" w:sz="8" w:space="0" w:color="00000A"/>
              <w:bottom w:val="single" w:sz="8" w:space="0" w:color="000080"/>
              <w:right w:val="nil"/>
            </w:tcBorders>
            <w:shd w:val="clear" w:color="auto" w:fill="FFFFFF"/>
            <w:vAlign w:val="center"/>
            <w:hideMark/>
          </w:tcPr>
          <w:p w:rsidR="00ED7F17" w:rsidRDefault="00ED7F17">
            <w:pPr>
              <w:jc w:val="center"/>
              <w:rPr>
                <w:rFonts w:ascii="Arial" w:eastAsia="Arial" w:hAnsi="Arial" w:cs="Arial"/>
                <w:sz w:val="22"/>
                <w:szCs w:val="22"/>
              </w:rPr>
            </w:pPr>
            <w:r>
              <w:rPr>
                <w:color w:val="000000"/>
                <w:sz w:val="20"/>
                <w:szCs w:val="20"/>
              </w:rPr>
              <w:t>Кроме того, количество внешних совместителей (чел.)</w:t>
            </w:r>
          </w:p>
        </w:tc>
        <w:tc>
          <w:tcPr>
            <w:tcW w:w="31" w:type="dxa"/>
            <w:tcBorders>
              <w:top w:val="nil"/>
              <w:left w:val="single" w:sz="8" w:space="0" w:color="00000A"/>
              <w:bottom w:val="nil"/>
              <w:right w:val="nil"/>
            </w:tcBorders>
          </w:tcPr>
          <w:p w:rsidR="00ED7F17" w:rsidRDefault="00ED7F17">
            <w:pPr>
              <w:snapToGrid w:val="0"/>
              <w:spacing w:line="276" w:lineRule="auto"/>
              <w:rPr>
                <w:rFonts w:ascii="Arial" w:eastAsia="Arial" w:hAnsi="Arial" w:cs="Arial"/>
                <w:sz w:val="20"/>
                <w:szCs w:val="20"/>
              </w:rPr>
            </w:pPr>
          </w:p>
        </w:tc>
      </w:tr>
      <w:tr w:rsidR="00ED7F17" w:rsidTr="00ED7F17">
        <w:trPr>
          <w:trHeight w:val="626"/>
        </w:trPr>
        <w:tc>
          <w:tcPr>
            <w:tcW w:w="10214" w:type="dxa"/>
            <w:vMerge/>
            <w:tcBorders>
              <w:top w:val="single" w:sz="8" w:space="0" w:color="000001"/>
              <w:left w:val="single" w:sz="8" w:space="0" w:color="00000A"/>
              <w:bottom w:val="single" w:sz="8" w:space="0" w:color="000080"/>
              <w:right w:val="nil"/>
            </w:tcBorders>
            <w:vAlign w:val="center"/>
            <w:hideMark/>
          </w:tcPr>
          <w:p w:rsidR="00ED7F17" w:rsidRDefault="00ED7F17">
            <w:pPr>
              <w:suppressAutoHyphens w:val="0"/>
              <w:rPr>
                <w:rFonts w:ascii="Arial" w:eastAsia="Arial" w:hAnsi="Arial" w:cs="Arial"/>
                <w:sz w:val="22"/>
                <w:szCs w:val="22"/>
              </w:rPr>
            </w:pPr>
          </w:p>
        </w:tc>
        <w:tc>
          <w:tcPr>
            <w:tcW w:w="1070" w:type="dxa"/>
            <w:vMerge/>
            <w:tcBorders>
              <w:top w:val="single" w:sz="8" w:space="0" w:color="000001"/>
              <w:left w:val="single" w:sz="8" w:space="0" w:color="00000A"/>
              <w:bottom w:val="single" w:sz="8" w:space="0" w:color="000080"/>
              <w:right w:val="nil"/>
            </w:tcBorders>
            <w:vAlign w:val="center"/>
            <w:hideMark/>
          </w:tcPr>
          <w:p w:rsidR="00ED7F17" w:rsidRDefault="00ED7F17">
            <w:pPr>
              <w:suppressAutoHyphens w:val="0"/>
              <w:rPr>
                <w:rFonts w:ascii="Arial" w:eastAsia="Arial" w:hAnsi="Arial" w:cs="Arial"/>
                <w:sz w:val="22"/>
                <w:szCs w:val="22"/>
              </w:rPr>
            </w:pPr>
          </w:p>
        </w:tc>
        <w:tc>
          <w:tcPr>
            <w:tcW w:w="1165"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Основными работниками</w:t>
            </w:r>
          </w:p>
        </w:tc>
        <w:tc>
          <w:tcPr>
            <w:tcW w:w="1385"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Внешними совместителями</w:t>
            </w:r>
          </w:p>
        </w:tc>
        <w:tc>
          <w:tcPr>
            <w:tcW w:w="1362"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Внутренними совместителями</w:t>
            </w:r>
          </w:p>
        </w:tc>
        <w:tc>
          <w:tcPr>
            <w:tcW w:w="671" w:type="dxa"/>
            <w:tcBorders>
              <w:top w:val="single" w:sz="8" w:space="0" w:color="000080"/>
              <w:left w:val="single" w:sz="8" w:space="0" w:color="000080"/>
              <w:bottom w:val="single" w:sz="8" w:space="0" w:color="000080"/>
              <w:right w:val="nil"/>
            </w:tcBorders>
            <w:shd w:val="clear" w:color="auto" w:fill="FFFFFF"/>
            <w:vAlign w:val="center"/>
            <w:hideMark/>
          </w:tcPr>
          <w:p w:rsidR="00ED7F17" w:rsidRDefault="00ED7F17">
            <w:pPr>
              <w:jc w:val="center"/>
              <w:rPr>
                <w:rFonts w:ascii="Arial" w:eastAsia="Arial" w:hAnsi="Arial" w:cs="Arial"/>
                <w:sz w:val="22"/>
                <w:szCs w:val="22"/>
              </w:rPr>
            </w:pPr>
            <w:r>
              <w:rPr>
                <w:color w:val="000000"/>
                <w:sz w:val="20"/>
                <w:szCs w:val="20"/>
              </w:rPr>
              <w:t>Всего (чел.)</w:t>
            </w:r>
          </w:p>
        </w:tc>
        <w:tc>
          <w:tcPr>
            <w:tcW w:w="1367" w:type="dxa"/>
            <w:tcBorders>
              <w:top w:val="single" w:sz="8" w:space="0" w:color="000080"/>
              <w:left w:val="single" w:sz="8" w:space="0" w:color="000080"/>
              <w:bottom w:val="single" w:sz="8" w:space="0" w:color="000080"/>
              <w:right w:val="nil"/>
            </w:tcBorders>
            <w:shd w:val="clear" w:color="auto" w:fill="FFFFFF"/>
            <w:vAlign w:val="center"/>
            <w:hideMark/>
          </w:tcPr>
          <w:p w:rsidR="00ED7F17" w:rsidRDefault="00ED7F17">
            <w:pPr>
              <w:jc w:val="center"/>
              <w:rPr>
                <w:rFonts w:ascii="Arial" w:eastAsia="Arial" w:hAnsi="Arial" w:cs="Arial"/>
                <w:sz w:val="22"/>
                <w:szCs w:val="22"/>
              </w:rPr>
            </w:pPr>
            <w:r>
              <w:rPr>
                <w:color w:val="000000"/>
                <w:sz w:val="20"/>
                <w:szCs w:val="20"/>
              </w:rPr>
              <w:t>в том числе внутренних совместиттелей (чел.)</w:t>
            </w:r>
          </w:p>
        </w:tc>
        <w:tc>
          <w:tcPr>
            <w:tcW w:w="1711" w:type="dxa"/>
            <w:gridSpan w:val="2"/>
            <w:vMerge/>
            <w:tcBorders>
              <w:top w:val="single" w:sz="8" w:space="0" w:color="000080"/>
              <w:left w:val="single" w:sz="8" w:space="0" w:color="000080"/>
              <w:bottom w:val="single" w:sz="8" w:space="0" w:color="000080"/>
              <w:right w:val="nil"/>
            </w:tcBorders>
            <w:vAlign w:val="center"/>
            <w:hideMark/>
          </w:tcPr>
          <w:p w:rsidR="00ED7F17" w:rsidRDefault="00ED7F17">
            <w:pPr>
              <w:suppressAutoHyphens w:val="0"/>
              <w:rPr>
                <w:rFonts w:ascii="Arial" w:eastAsia="Arial" w:hAnsi="Arial" w:cs="Arial"/>
                <w:sz w:val="22"/>
                <w:szCs w:val="22"/>
              </w:rPr>
            </w:pPr>
          </w:p>
        </w:tc>
        <w:tc>
          <w:tcPr>
            <w:tcW w:w="31" w:type="dxa"/>
            <w:tcBorders>
              <w:top w:val="nil"/>
              <w:left w:val="single" w:sz="8" w:space="0" w:color="000080"/>
              <w:bottom w:val="nil"/>
              <w:right w:val="nil"/>
            </w:tcBorders>
          </w:tcPr>
          <w:p w:rsidR="00ED7F17" w:rsidRDefault="00ED7F17">
            <w:pPr>
              <w:snapToGrid w:val="0"/>
              <w:spacing w:line="276" w:lineRule="auto"/>
              <w:rPr>
                <w:b/>
                <w:bCs/>
                <w:color w:val="000000"/>
                <w:sz w:val="20"/>
                <w:szCs w:val="20"/>
              </w:rPr>
            </w:pPr>
          </w:p>
        </w:tc>
      </w:tr>
      <w:tr w:rsidR="00ED7F17" w:rsidTr="00ED7F17">
        <w:trPr>
          <w:trHeight w:val="137"/>
        </w:trPr>
        <w:tc>
          <w:tcPr>
            <w:tcW w:w="1768"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rPr>
                <w:rFonts w:ascii="Arial" w:eastAsia="Arial" w:hAnsi="Arial" w:cs="Arial"/>
                <w:sz w:val="22"/>
                <w:szCs w:val="22"/>
              </w:rPr>
            </w:pPr>
            <w:r>
              <w:rPr>
                <w:b/>
                <w:bCs/>
                <w:color w:val="000000"/>
                <w:sz w:val="20"/>
                <w:szCs w:val="20"/>
              </w:rPr>
              <w:t>Врачи - специалисты всего</w:t>
            </w:r>
          </w:p>
        </w:tc>
        <w:tc>
          <w:tcPr>
            <w:tcW w:w="1070"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b/>
                <w:bCs/>
                <w:color w:val="000000"/>
                <w:sz w:val="20"/>
                <w:szCs w:val="20"/>
              </w:rPr>
              <w:t>44,5</w:t>
            </w:r>
          </w:p>
        </w:tc>
        <w:tc>
          <w:tcPr>
            <w:tcW w:w="1165"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b/>
                <w:bCs/>
                <w:color w:val="000000"/>
                <w:sz w:val="20"/>
                <w:szCs w:val="20"/>
              </w:rPr>
              <w:t>35,5</w:t>
            </w:r>
          </w:p>
        </w:tc>
        <w:tc>
          <w:tcPr>
            <w:tcW w:w="1385"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b/>
                <w:bCs/>
                <w:color w:val="000000"/>
                <w:sz w:val="20"/>
                <w:szCs w:val="20"/>
              </w:rPr>
              <w:t>1,5</w:t>
            </w:r>
          </w:p>
        </w:tc>
        <w:tc>
          <w:tcPr>
            <w:tcW w:w="1362"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b/>
                <w:bCs/>
                <w:color w:val="000000"/>
                <w:sz w:val="20"/>
                <w:szCs w:val="20"/>
              </w:rPr>
              <w:t>3,25</w:t>
            </w:r>
          </w:p>
        </w:tc>
        <w:tc>
          <w:tcPr>
            <w:tcW w:w="671"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b/>
                <w:bCs/>
                <w:color w:val="000000"/>
                <w:sz w:val="20"/>
                <w:szCs w:val="20"/>
              </w:rPr>
              <w:t>44</w:t>
            </w:r>
          </w:p>
        </w:tc>
        <w:tc>
          <w:tcPr>
            <w:tcW w:w="1367"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b/>
                <w:bCs/>
                <w:color w:val="000000"/>
                <w:sz w:val="20"/>
                <w:szCs w:val="20"/>
              </w:rPr>
              <w:t>10</w:t>
            </w:r>
          </w:p>
        </w:tc>
        <w:tc>
          <w:tcPr>
            <w:tcW w:w="1567" w:type="dxa"/>
            <w:gridSpan w:val="2"/>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b/>
                <w:bCs/>
                <w:color w:val="000000"/>
                <w:sz w:val="20"/>
                <w:szCs w:val="20"/>
              </w:rPr>
              <w:t>3</w:t>
            </w:r>
          </w:p>
        </w:tc>
        <w:tc>
          <w:tcPr>
            <w:tcW w:w="31" w:type="dxa"/>
            <w:tcBorders>
              <w:top w:val="nil"/>
              <w:left w:val="single" w:sz="8" w:space="0" w:color="000080"/>
              <w:bottom w:val="nil"/>
              <w:right w:val="nil"/>
            </w:tcBorders>
          </w:tcPr>
          <w:p w:rsidR="00ED7F17" w:rsidRDefault="00ED7F17">
            <w:pPr>
              <w:snapToGrid w:val="0"/>
              <w:spacing w:line="276" w:lineRule="auto"/>
              <w:rPr>
                <w:color w:val="000000"/>
                <w:sz w:val="20"/>
                <w:szCs w:val="20"/>
              </w:rPr>
            </w:pPr>
          </w:p>
        </w:tc>
      </w:tr>
      <w:tr w:rsidR="00ED7F17" w:rsidTr="00ED7F17">
        <w:trPr>
          <w:trHeight w:val="156"/>
        </w:trPr>
        <w:tc>
          <w:tcPr>
            <w:tcW w:w="1768"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rPr>
                <w:rFonts w:ascii="Arial" w:eastAsia="Arial" w:hAnsi="Arial" w:cs="Arial"/>
                <w:sz w:val="22"/>
                <w:szCs w:val="22"/>
              </w:rPr>
            </w:pPr>
            <w:r>
              <w:rPr>
                <w:color w:val="000000"/>
                <w:sz w:val="20"/>
                <w:szCs w:val="20"/>
              </w:rPr>
              <w:t>в том числе: врачи - кадиологи</w:t>
            </w:r>
          </w:p>
        </w:tc>
        <w:tc>
          <w:tcPr>
            <w:tcW w:w="1070"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12</w:t>
            </w:r>
          </w:p>
        </w:tc>
        <w:tc>
          <w:tcPr>
            <w:tcW w:w="1165"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13</w:t>
            </w:r>
          </w:p>
        </w:tc>
        <w:tc>
          <w:tcPr>
            <w:tcW w:w="1385" w:type="dxa"/>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1362"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0,5</w:t>
            </w:r>
          </w:p>
        </w:tc>
        <w:tc>
          <w:tcPr>
            <w:tcW w:w="671"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15</w:t>
            </w:r>
          </w:p>
        </w:tc>
        <w:tc>
          <w:tcPr>
            <w:tcW w:w="1367"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2</w:t>
            </w:r>
          </w:p>
        </w:tc>
        <w:tc>
          <w:tcPr>
            <w:tcW w:w="1567" w:type="dxa"/>
            <w:gridSpan w:val="2"/>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31" w:type="dxa"/>
            <w:tcBorders>
              <w:top w:val="nil"/>
              <w:left w:val="single" w:sz="8" w:space="0" w:color="000080"/>
              <w:bottom w:val="nil"/>
              <w:right w:val="nil"/>
            </w:tcBorders>
          </w:tcPr>
          <w:p w:rsidR="00ED7F17" w:rsidRDefault="00ED7F17">
            <w:pPr>
              <w:snapToGrid w:val="0"/>
              <w:spacing w:line="276" w:lineRule="auto"/>
              <w:rPr>
                <w:color w:val="000000"/>
                <w:sz w:val="20"/>
                <w:szCs w:val="20"/>
              </w:rPr>
            </w:pPr>
          </w:p>
        </w:tc>
      </w:tr>
      <w:tr w:rsidR="00ED7F17" w:rsidTr="00ED7F17">
        <w:trPr>
          <w:trHeight w:val="176"/>
        </w:trPr>
        <w:tc>
          <w:tcPr>
            <w:tcW w:w="1768"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rPr>
                <w:rFonts w:ascii="Arial" w:eastAsia="Arial" w:hAnsi="Arial" w:cs="Arial"/>
                <w:sz w:val="22"/>
                <w:szCs w:val="22"/>
              </w:rPr>
            </w:pPr>
            <w:r>
              <w:rPr>
                <w:color w:val="000000"/>
                <w:sz w:val="20"/>
                <w:szCs w:val="20"/>
              </w:rPr>
              <w:t>врачи по эндоваскулярным диагностике и лечению</w:t>
            </w:r>
          </w:p>
        </w:tc>
        <w:tc>
          <w:tcPr>
            <w:tcW w:w="1070"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11</w:t>
            </w:r>
          </w:p>
        </w:tc>
        <w:tc>
          <w:tcPr>
            <w:tcW w:w="1165"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6</w:t>
            </w:r>
          </w:p>
        </w:tc>
        <w:tc>
          <w:tcPr>
            <w:tcW w:w="1385" w:type="dxa"/>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1362" w:type="dxa"/>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671"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6</w:t>
            </w:r>
          </w:p>
        </w:tc>
        <w:tc>
          <w:tcPr>
            <w:tcW w:w="1367" w:type="dxa"/>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1567" w:type="dxa"/>
            <w:gridSpan w:val="2"/>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31" w:type="dxa"/>
            <w:tcBorders>
              <w:top w:val="nil"/>
              <w:left w:val="single" w:sz="8" w:space="0" w:color="000080"/>
              <w:bottom w:val="nil"/>
              <w:right w:val="nil"/>
            </w:tcBorders>
          </w:tcPr>
          <w:p w:rsidR="00ED7F17" w:rsidRDefault="00ED7F17">
            <w:pPr>
              <w:snapToGrid w:val="0"/>
              <w:spacing w:line="276" w:lineRule="auto"/>
              <w:rPr>
                <w:color w:val="000000"/>
                <w:sz w:val="20"/>
                <w:szCs w:val="20"/>
              </w:rPr>
            </w:pPr>
          </w:p>
        </w:tc>
      </w:tr>
      <w:tr w:rsidR="00ED7F17" w:rsidTr="00ED7F17">
        <w:trPr>
          <w:trHeight w:val="108"/>
        </w:trPr>
        <w:tc>
          <w:tcPr>
            <w:tcW w:w="1768"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rPr>
                <w:rFonts w:ascii="Arial" w:eastAsia="Arial" w:hAnsi="Arial" w:cs="Arial"/>
                <w:sz w:val="22"/>
                <w:szCs w:val="22"/>
              </w:rPr>
            </w:pPr>
            <w:r>
              <w:rPr>
                <w:color w:val="000000"/>
                <w:sz w:val="20"/>
                <w:szCs w:val="20"/>
              </w:rPr>
              <w:t>Врачи - специалисты:</w:t>
            </w:r>
          </w:p>
        </w:tc>
        <w:tc>
          <w:tcPr>
            <w:tcW w:w="1070" w:type="dxa"/>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1165" w:type="dxa"/>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1385" w:type="dxa"/>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1362" w:type="dxa"/>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671" w:type="dxa"/>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1367" w:type="dxa"/>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1567" w:type="dxa"/>
            <w:gridSpan w:val="2"/>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31" w:type="dxa"/>
            <w:tcBorders>
              <w:top w:val="nil"/>
              <w:left w:val="single" w:sz="8" w:space="0" w:color="000080"/>
              <w:bottom w:val="nil"/>
              <w:right w:val="nil"/>
            </w:tcBorders>
          </w:tcPr>
          <w:p w:rsidR="00ED7F17" w:rsidRDefault="00ED7F17">
            <w:pPr>
              <w:snapToGrid w:val="0"/>
              <w:spacing w:line="276" w:lineRule="auto"/>
              <w:rPr>
                <w:color w:val="000000"/>
                <w:sz w:val="20"/>
                <w:szCs w:val="20"/>
              </w:rPr>
            </w:pPr>
          </w:p>
        </w:tc>
      </w:tr>
      <w:tr w:rsidR="00ED7F17" w:rsidTr="00ED7F17">
        <w:trPr>
          <w:trHeight w:val="268"/>
        </w:trPr>
        <w:tc>
          <w:tcPr>
            <w:tcW w:w="1768"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rPr>
                <w:rFonts w:ascii="Arial" w:eastAsia="Arial" w:hAnsi="Arial" w:cs="Arial"/>
                <w:sz w:val="22"/>
                <w:szCs w:val="22"/>
              </w:rPr>
            </w:pPr>
            <w:r>
              <w:rPr>
                <w:color w:val="000000"/>
                <w:sz w:val="20"/>
                <w:szCs w:val="20"/>
              </w:rPr>
              <w:t>Руководитель центра - врач-специалист</w:t>
            </w:r>
          </w:p>
        </w:tc>
        <w:tc>
          <w:tcPr>
            <w:tcW w:w="1070"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0,5</w:t>
            </w:r>
          </w:p>
        </w:tc>
        <w:tc>
          <w:tcPr>
            <w:tcW w:w="1165" w:type="dxa"/>
            <w:tcBorders>
              <w:top w:val="nil"/>
              <w:left w:val="single" w:sz="8" w:space="0" w:color="000080"/>
              <w:bottom w:val="nil"/>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0,5</w:t>
            </w:r>
          </w:p>
        </w:tc>
        <w:tc>
          <w:tcPr>
            <w:tcW w:w="1385" w:type="dxa"/>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1362" w:type="dxa"/>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671"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1</w:t>
            </w:r>
          </w:p>
        </w:tc>
        <w:tc>
          <w:tcPr>
            <w:tcW w:w="1367" w:type="dxa"/>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1567" w:type="dxa"/>
            <w:gridSpan w:val="2"/>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31" w:type="dxa"/>
            <w:tcBorders>
              <w:top w:val="nil"/>
              <w:left w:val="single" w:sz="8" w:space="0" w:color="000080"/>
              <w:bottom w:val="nil"/>
              <w:right w:val="nil"/>
            </w:tcBorders>
          </w:tcPr>
          <w:p w:rsidR="00ED7F17" w:rsidRDefault="00ED7F17">
            <w:pPr>
              <w:snapToGrid w:val="0"/>
              <w:spacing w:line="276" w:lineRule="auto"/>
              <w:rPr>
                <w:color w:val="000000"/>
                <w:sz w:val="20"/>
                <w:szCs w:val="20"/>
              </w:rPr>
            </w:pPr>
          </w:p>
        </w:tc>
      </w:tr>
      <w:tr w:rsidR="00ED7F17" w:rsidTr="00ED7F17">
        <w:trPr>
          <w:trHeight w:val="258"/>
        </w:trPr>
        <w:tc>
          <w:tcPr>
            <w:tcW w:w="1768"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rPr>
                <w:rFonts w:ascii="Arial" w:eastAsia="Arial" w:hAnsi="Arial" w:cs="Arial"/>
                <w:sz w:val="22"/>
                <w:szCs w:val="22"/>
              </w:rPr>
            </w:pPr>
            <w:r>
              <w:rPr>
                <w:color w:val="000000"/>
                <w:sz w:val="20"/>
                <w:szCs w:val="20"/>
              </w:rPr>
              <w:t>Врач-невролог</w:t>
            </w:r>
          </w:p>
        </w:tc>
        <w:tc>
          <w:tcPr>
            <w:tcW w:w="1070"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11</w:t>
            </w:r>
          </w:p>
        </w:tc>
        <w:tc>
          <w:tcPr>
            <w:tcW w:w="1165"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7</w:t>
            </w:r>
          </w:p>
        </w:tc>
        <w:tc>
          <w:tcPr>
            <w:tcW w:w="1385"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1</w:t>
            </w:r>
          </w:p>
        </w:tc>
        <w:tc>
          <w:tcPr>
            <w:tcW w:w="1362"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2,25</w:t>
            </w:r>
          </w:p>
        </w:tc>
        <w:tc>
          <w:tcPr>
            <w:tcW w:w="671"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12</w:t>
            </w:r>
          </w:p>
        </w:tc>
        <w:tc>
          <w:tcPr>
            <w:tcW w:w="1367"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7</w:t>
            </w:r>
          </w:p>
        </w:tc>
        <w:tc>
          <w:tcPr>
            <w:tcW w:w="1567" w:type="dxa"/>
            <w:gridSpan w:val="2"/>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2</w:t>
            </w:r>
          </w:p>
        </w:tc>
        <w:tc>
          <w:tcPr>
            <w:tcW w:w="31" w:type="dxa"/>
            <w:tcBorders>
              <w:top w:val="nil"/>
              <w:left w:val="single" w:sz="8" w:space="0" w:color="000080"/>
              <w:bottom w:val="nil"/>
              <w:right w:val="nil"/>
            </w:tcBorders>
          </w:tcPr>
          <w:p w:rsidR="00ED7F17" w:rsidRDefault="00ED7F17">
            <w:pPr>
              <w:snapToGrid w:val="0"/>
              <w:spacing w:line="276" w:lineRule="auto"/>
              <w:rPr>
                <w:color w:val="000000"/>
                <w:sz w:val="20"/>
                <w:szCs w:val="20"/>
              </w:rPr>
            </w:pPr>
          </w:p>
        </w:tc>
      </w:tr>
      <w:tr w:rsidR="00ED7F17" w:rsidTr="00ED7F17">
        <w:trPr>
          <w:trHeight w:val="120"/>
        </w:trPr>
        <w:tc>
          <w:tcPr>
            <w:tcW w:w="1768"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rPr>
                <w:rFonts w:ascii="Arial" w:eastAsia="Arial" w:hAnsi="Arial" w:cs="Arial"/>
                <w:sz w:val="22"/>
                <w:szCs w:val="22"/>
              </w:rPr>
            </w:pPr>
            <w:r>
              <w:rPr>
                <w:color w:val="000000"/>
                <w:sz w:val="20"/>
                <w:szCs w:val="20"/>
              </w:rPr>
              <w:t>Врач-анестезиолог-рениматолог</w:t>
            </w:r>
          </w:p>
        </w:tc>
        <w:tc>
          <w:tcPr>
            <w:tcW w:w="1070"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1</w:t>
            </w:r>
          </w:p>
        </w:tc>
        <w:tc>
          <w:tcPr>
            <w:tcW w:w="1165" w:type="dxa"/>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1385"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0,5</w:t>
            </w:r>
          </w:p>
        </w:tc>
        <w:tc>
          <w:tcPr>
            <w:tcW w:w="1362"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0,5</w:t>
            </w:r>
          </w:p>
        </w:tc>
        <w:tc>
          <w:tcPr>
            <w:tcW w:w="671"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1</w:t>
            </w:r>
          </w:p>
        </w:tc>
        <w:tc>
          <w:tcPr>
            <w:tcW w:w="1367"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1</w:t>
            </w:r>
          </w:p>
        </w:tc>
        <w:tc>
          <w:tcPr>
            <w:tcW w:w="1567" w:type="dxa"/>
            <w:gridSpan w:val="2"/>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1</w:t>
            </w:r>
          </w:p>
        </w:tc>
        <w:tc>
          <w:tcPr>
            <w:tcW w:w="31" w:type="dxa"/>
            <w:tcBorders>
              <w:top w:val="nil"/>
              <w:left w:val="single" w:sz="8" w:space="0" w:color="000080"/>
              <w:bottom w:val="nil"/>
              <w:right w:val="nil"/>
            </w:tcBorders>
          </w:tcPr>
          <w:p w:rsidR="00ED7F17" w:rsidRDefault="00ED7F17">
            <w:pPr>
              <w:snapToGrid w:val="0"/>
              <w:spacing w:line="276" w:lineRule="auto"/>
              <w:rPr>
                <w:color w:val="000000"/>
                <w:sz w:val="20"/>
                <w:szCs w:val="20"/>
              </w:rPr>
            </w:pPr>
          </w:p>
        </w:tc>
      </w:tr>
      <w:tr w:rsidR="00ED7F17" w:rsidTr="00ED7F17">
        <w:trPr>
          <w:trHeight w:val="138"/>
        </w:trPr>
        <w:tc>
          <w:tcPr>
            <w:tcW w:w="1768"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rPr>
                <w:rFonts w:ascii="Arial" w:eastAsia="Arial" w:hAnsi="Arial" w:cs="Arial"/>
                <w:sz w:val="22"/>
                <w:szCs w:val="22"/>
              </w:rPr>
            </w:pPr>
            <w:r>
              <w:rPr>
                <w:color w:val="000000"/>
                <w:sz w:val="20"/>
                <w:szCs w:val="20"/>
              </w:rPr>
              <w:t xml:space="preserve">Врач-сердечно-сосудистый хирург        </w:t>
            </w:r>
          </w:p>
        </w:tc>
        <w:tc>
          <w:tcPr>
            <w:tcW w:w="1070"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9</w:t>
            </w:r>
          </w:p>
        </w:tc>
        <w:tc>
          <w:tcPr>
            <w:tcW w:w="1165"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9</w:t>
            </w:r>
          </w:p>
        </w:tc>
        <w:tc>
          <w:tcPr>
            <w:tcW w:w="1385" w:type="dxa"/>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1362" w:type="dxa"/>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671"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9</w:t>
            </w:r>
          </w:p>
        </w:tc>
        <w:tc>
          <w:tcPr>
            <w:tcW w:w="1367" w:type="dxa"/>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1567" w:type="dxa"/>
            <w:gridSpan w:val="2"/>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31" w:type="dxa"/>
            <w:tcBorders>
              <w:top w:val="nil"/>
              <w:left w:val="single" w:sz="8" w:space="0" w:color="000080"/>
              <w:bottom w:val="nil"/>
              <w:right w:val="nil"/>
            </w:tcBorders>
          </w:tcPr>
          <w:p w:rsidR="00ED7F17" w:rsidRDefault="00ED7F17">
            <w:pPr>
              <w:snapToGrid w:val="0"/>
              <w:spacing w:line="276" w:lineRule="auto"/>
              <w:rPr>
                <w:b/>
                <w:bCs/>
                <w:color w:val="000000"/>
                <w:sz w:val="20"/>
                <w:szCs w:val="20"/>
              </w:rPr>
            </w:pPr>
          </w:p>
        </w:tc>
      </w:tr>
      <w:tr w:rsidR="00ED7F17" w:rsidTr="00ED7F17">
        <w:trPr>
          <w:trHeight w:val="283"/>
        </w:trPr>
        <w:tc>
          <w:tcPr>
            <w:tcW w:w="1768"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rPr>
                <w:rFonts w:ascii="Arial" w:eastAsia="Arial" w:hAnsi="Arial" w:cs="Arial"/>
                <w:sz w:val="22"/>
                <w:szCs w:val="22"/>
              </w:rPr>
            </w:pPr>
            <w:r>
              <w:rPr>
                <w:b/>
                <w:bCs/>
                <w:color w:val="000000"/>
                <w:sz w:val="20"/>
                <w:szCs w:val="20"/>
              </w:rPr>
              <w:t>Медицинские сестры всего,</w:t>
            </w:r>
          </w:p>
        </w:tc>
        <w:tc>
          <w:tcPr>
            <w:tcW w:w="1070"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b/>
                <w:bCs/>
                <w:color w:val="000000"/>
                <w:sz w:val="20"/>
                <w:szCs w:val="20"/>
              </w:rPr>
              <w:t>65</w:t>
            </w:r>
          </w:p>
        </w:tc>
        <w:tc>
          <w:tcPr>
            <w:tcW w:w="1165"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b/>
                <w:bCs/>
                <w:color w:val="000000"/>
                <w:sz w:val="20"/>
                <w:szCs w:val="20"/>
              </w:rPr>
              <w:t>59</w:t>
            </w:r>
          </w:p>
        </w:tc>
        <w:tc>
          <w:tcPr>
            <w:tcW w:w="1385"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b/>
                <w:bCs/>
                <w:color w:val="000000"/>
                <w:sz w:val="20"/>
                <w:szCs w:val="20"/>
              </w:rPr>
              <w:t>0</w:t>
            </w:r>
          </w:p>
        </w:tc>
        <w:tc>
          <w:tcPr>
            <w:tcW w:w="1362"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b/>
                <w:bCs/>
                <w:color w:val="000000"/>
                <w:sz w:val="20"/>
                <w:szCs w:val="20"/>
              </w:rPr>
              <w:t>3,5</w:t>
            </w:r>
          </w:p>
        </w:tc>
        <w:tc>
          <w:tcPr>
            <w:tcW w:w="671"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b/>
                <w:bCs/>
                <w:color w:val="000000"/>
                <w:sz w:val="20"/>
                <w:szCs w:val="20"/>
              </w:rPr>
              <w:t>67</w:t>
            </w:r>
          </w:p>
        </w:tc>
        <w:tc>
          <w:tcPr>
            <w:tcW w:w="1367"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b/>
                <w:bCs/>
                <w:color w:val="000000"/>
                <w:sz w:val="20"/>
                <w:szCs w:val="20"/>
              </w:rPr>
              <w:t>8</w:t>
            </w:r>
          </w:p>
        </w:tc>
        <w:tc>
          <w:tcPr>
            <w:tcW w:w="1567" w:type="dxa"/>
            <w:gridSpan w:val="2"/>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b/>
                <w:bCs/>
                <w:color w:val="000000"/>
                <w:sz w:val="20"/>
                <w:szCs w:val="20"/>
              </w:rPr>
              <w:t>0</w:t>
            </w:r>
          </w:p>
        </w:tc>
        <w:tc>
          <w:tcPr>
            <w:tcW w:w="31" w:type="dxa"/>
            <w:tcBorders>
              <w:top w:val="nil"/>
              <w:left w:val="single" w:sz="8" w:space="0" w:color="000080"/>
              <w:bottom w:val="nil"/>
              <w:right w:val="nil"/>
            </w:tcBorders>
          </w:tcPr>
          <w:p w:rsidR="00ED7F17" w:rsidRDefault="00ED7F17">
            <w:pPr>
              <w:snapToGrid w:val="0"/>
              <w:spacing w:line="276" w:lineRule="auto"/>
              <w:rPr>
                <w:color w:val="000000"/>
                <w:sz w:val="20"/>
                <w:szCs w:val="20"/>
              </w:rPr>
            </w:pPr>
          </w:p>
        </w:tc>
      </w:tr>
      <w:tr w:rsidR="00ED7F17" w:rsidTr="00ED7F17">
        <w:trPr>
          <w:trHeight w:val="274"/>
        </w:trPr>
        <w:tc>
          <w:tcPr>
            <w:tcW w:w="1768"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rPr>
                <w:rFonts w:ascii="Arial" w:eastAsia="Arial" w:hAnsi="Arial" w:cs="Arial"/>
                <w:sz w:val="22"/>
                <w:szCs w:val="22"/>
              </w:rPr>
            </w:pPr>
            <w:r>
              <w:rPr>
                <w:color w:val="000000"/>
                <w:sz w:val="20"/>
                <w:szCs w:val="20"/>
              </w:rPr>
              <w:t>в том числе: медицинская сестра палатная (постовая)</w:t>
            </w:r>
          </w:p>
        </w:tc>
        <w:tc>
          <w:tcPr>
            <w:tcW w:w="1070"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39</w:t>
            </w:r>
          </w:p>
        </w:tc>
        <w:tc>
          <w:tcPr>
            <w:tcW w:w="1165"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37</w:t>
            </w:r>
          </w:p>
        </w:tc>
        <w:tc>
          <w:tcPr>
            <w:tcW w:w="1385" w:type="dxa"/>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1362"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2,5</w:t>
            </w:r>
          </w:p>
        </w:tc>
        <w:tc>
          <w:tcPr>
            <w:tcW w:w="671"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42</w:t>
            </w:r>
          </w:p>
        </w:tc>
        <w:tc>
          <w:tcPr>
            <w:tcW w:w="1367"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5</w:t>
            </w:r>
          </w:p>
        </w:tc>
        <w:tc>
          <w:tcPr>
            <w:tcW w:w="1567" w:type="dxa"/>
            <w:gridSpan w:val="2"/>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31" w:type="dxa"/>
            <w:tcBorders>
              <w:top w:val="nil"/>
              <w:left w:val="single" w:sz="8" w:space="0" w:color="000080"/>
              <w:bottom w:val="nil"/>
              <w:right w:val="nil"/>
            </w:tcBorders>
          </w:tcPr>
          <w:p w:rsidR="00ED7F17" w:rsidRDefault="00ED7F17">
            <w:pPr>
              <w:snapToGrid w:val="0"/>
              <w:spacing w:line="276" w:lineRule="auto"/>
              <w:rPr>
                <w:color w:val="000000"/>
                <w:sz w:val="20"/>
                <w:szCs w:val="20"/>
              </w:rPr>
            </w:pPr>
          </w:p>
        </w:tc>
      </w:tr>
      <w:tr w:rsidR="00ED7F17" w:rsidTr="00ED7F17">
        <w:trPr>
          <w:trHeight w:val="312"/>
        </w:trPr>
        <w:tc>
          <w:tcPr>
            <w:tcW w:w="1768"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rPr>
                <w:rFonts w:ascii="Arial" w:eastAsia="Arial" w:hAnsi="Arial" w:cs="Arial"/>
                <w:sz w:val="22"/>
                <w:szCs w:val="22"/>
              </w:rPr>
            </w:pPr>
            <w:r>
              <w:rPr>
                <w:color w:val="000000"/>
                <w:sz w:val="20"/>
                <w:szCs w:val="20"/>
              </w:rPr>
              <w:t xml:space="preserve">Медицинская сестра процедурной </w:t>
            </w:r>
          </w:p>
        </w:tc>
        <w:tc>
          <w:tcPr>
            <w:tcW w:w="1070"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7</w:t>
            </w:r>
          </w:p>
        </w:tc>
        <w:tc>
          <w:tcPr>
            <w:tcW w:w="1165"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6</w:t>
            </w:r>
          </w:p>
        </w:tc>
        <w:tc>
          <w:tcPr>
            <w:tcW w:w="1385" w:type="dxa"/>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1362"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0,5</w:t>
            </w:r>
          </w:p>
        </w:tc>
        <w:tc>
          <w:tcPr>
            <w:tcW w:w="671"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7</w:t>
            </w:r>
          </w:p>
        </w:tc>
        <w:tc>
          <w:tcPr>
            <w:tcW w:w="1367"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1</w:t>
            </w:r>
          </w:p>
        </w:tc>
        <w:tc>
          <w:tcPr>
            <w:tcW w:w="1567" w:type="dxa"/>
            <w:gridSpan w:val="2"/>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31" w:type="dxa"/>
            <w:tcBorders>
              <w:top w:val="nil"/>
              <w:left w:val="single" w:sz="8" w:space="0" w:color="000080"/>
              <w:bottom w:val="nil"/>
              <w:right w:val="nil"/>
            </w:tcBorders>
          </w:tcPr>
          <w:p w:rsidR="00ED7F17" w:rsidRDefault="00ED7F17">
            <w:pPr>
              <w:snapToGrid w:val="0"/>
              <w:spacing w:line="276" w:lineRule="auto"/>
              <w:rPr>
                <w:color w:val="000000"/>
                <w:sz w:val="20"/>
                <w:szCs w:val="20"/>
              </w:rPr>
            </w:pPr>
          </w:p>
        </w:tc>
      </w:tr>
      <w:tr w:rsidR="00ED7F17" w:rsidTr="00ED7F17">
        <w:trPr>
          <w:trHeight w:val="289"/>
        </w:trPr>
        <w:tc>
          <w:tcPr>
            <w:tcW w:w="1768"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rPr>
                <w:rFonts w:ascii="Arial" w:eastAsia="Arial" w:hAnsi="Arial" w:cs="Arial"/>
                <w:sz w:val="22"/>
                <w:szCs w:val="22"/>
              </w:rPr>
            </w:pPr>
            <w:r>
              <w:rPr>
                <w:color w:val="000000"/>
                <w:sz w:val="20"/>
                <w:szCs w:val="20"/>
              </w:rPr>
              <w:t xml:space="preserve">Старшая медицинская сестра </w:t>
            </w:r>
          </w:p>
        </w:tc>
        <w:tc>
          <w:tcPr>
            <w:tcW w:w="1070"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3</w:t>
            </w:r>
          </w:p>
        </w:tc>
        <w:tc>
          <w:tcPr>
            <w:tcW w:w="1165"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3</w:t>
            </w:r>
          </w:p>
        </w:tc>
        <w:tc>
          <w:tcPr>
            <w:tcW w:w="1385" w:type="dxa"/>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1362" w:type="dxa"/>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671"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3</w:t>
            </w:r>
          </w:p>
        </w:tc>
        <w:tc>
          <w:tcPr>
            <w:tcW w:w="1367"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2</w:t>
            </w:r>
          </w:p>
        </w:tc>
        <w:tc>
          <w:tcPr>
            <w:tcW w:w="1567" w:type="dxa"/>
            <w:gridSpan w:val="2"/>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31" w:type="dxa"/>
            <w:tcBorders>
              <w:top w:val="nil"/>
              <w:left w:val="single" w:sz="8" w:space="0" w:color="000080"/>
              <w:bottom w:val="nil"/>
              <w:right w:val="nil"/>
            </w:tcBorders>
          </w:tcPr>
          <w:p w:rsidR="00ED7F17" w:rsidRDefault="00ED7F17">
            <w:pPr>
              <w:snapToGrid w:val="0"/>
              <w:spacing w:line="276" w:lineRule="auto"/>
              <w:rPr>
                <w:color w:val="000000"/>
                <w:sz w:val="20"/>
                <w:szCs w:val="20"/>
              </w:rPr>
            </w:pPr>
          </w:p>
        </w:tc>
      </w:tr>
      <w:tr w:rsidR="00ED7F17" w:rsidTr="00ED7F17">
        <w:trPr>
          <w:trHeight w:val="190"/>
        </w:trPr>
        <w:tc>
          <w:tcPr>
            <w:tcW w:w="1768"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rPr>
                <w:rFonts w:ascii="Arial" w:eastAsia="Arial" w:hAnsi="Arial" w:cs="Arial"/>
                <w:sz w:val="22"/>
                <w:szCs w:val="22"/>
              </w:rPr>
            </w:pPr>
            <w:r>
              <w:rPr>
                <w:color w:val="000000"/>
                <w:sz w:val="20"/>
                <w:szCs w:val="20"/>
              </w:rPr>
              <w:t>Медицинская сестра-анестезист</w:t>
            </w:r>
          </w:p>
        </w:tc>
        <w:tc>
          <w:tcPr>
            <w:tcW w:w="1070"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4</w:t>
            </w:r>
          </w:p>
        </w:tc>
        <w:tc>
          <w:tcPr>
            <w:tcW w:w="1165"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2</w:t>
            </w:r>
          </w:p>
        </w:tc>
        <w:tc>
          <w:tcPr>
            <w:tcW w:w="1385" w:type="dxa"/>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1362"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0,5</w:t>
            </w:r>
          </w:p>
        </w:tc>
        <w:tc>
          <w:tcPr>
            <w:tcW w:w="671"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4</w:t>
            </w:r>
          </w:p>
        </w:tc>
        <w:tc>
          <w:tcPr>
            <w:tcW w:w="1367" w:type="dxa"/>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1567" w:type="dxa"/>
            <w:gridSpan w:val="2"/>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31" w:type="dxa"/>
            <w:tcBorders>
              <w:top w:val="nil"/>
              <w:left w:val="single" w:sz="8" w:space="0" w:color="000080"/>
              <w:bottom w:val="nil"/>
              <w:right w:val="nil"/>
            </w:tcBorders>
          </w:tcPr>
          <w:p w:rsidR="00ED7F17" w:rsidRDefault="00ED7F17">
            <w:pPr>
              <w:snapToGrid w:val="0"/>
              <w:spacing w:line="276" w:lineRule="auto"/>
              <w:rPr>
                <w:color w:val="000000"/>
                <w:sz w:val="20"/>
                <w:szCs w:val="20"/>
              </w:rPr>
            </w:pPr>
          </w:p>
        </w:tc>
      </w:tr>
      <w:tr w:rsidR="00ED7F17" w:rsidTr="00ED7F17">
        <w:trPr>
          <w:trHeight w:val="194"/>
        </w:trPr>
        <w:tc>
          <w:tcPr>
            <w:tcW w:w="1768"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rPr>
                <w:rFonts w:ascii="Arial" w:eastAsia="Arial" w:hAnsi="Arial" w:cs="Arial"/>
                <w:sz w:val="22"/>
                <w:szCs w:val="22"/>
              </w:rPr>
            </w:pPr>
            <w:r>
              <w:rPr>
                <w:color w:val="000000"/>
                <w:sz w:val="20"/>
                <w:szCs w:val="20"/>
              </w:rPr>
              <w:t xml:space="preserve">Медицинская сестра перевязочной </w:t>
            </w:r>
          </w:p>
        </w:tc>
        <w:tc>
          <w:tcPr>
            <w:tcW w:w="1070"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1</w:t>
            </w:r>
          </w:p>
        </w:tc>
        <w:tc>
          <w:tcPr>
            <w:tcW w:w="1165"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1</w:t>
            </w:r>
          </w:p>
        </w:tc>
        <w:tc>
          <w:tcPr>
            <w:tcW w:w="1385" w:type="dxa"/>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1362" w:type="dxa"/>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671"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1</w:t>
            </w:r>
          </w:p>
        </w:tc>
        <w:tc>
          <w:tcPr>
            <w:tcW w:w="1367" w:type="dxa"/>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1567" w:type="dxa"/>
            <w:gridSpan w:val="2"/>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31" w:type="dxa"/>
            <w:tcBorders>
              <w:top w:val="nil"/>
              <w:left w:val="single" w:sz="8" w:space="0" w:color="000080"/>
              <w:bottom w:val="nil"/>
              <w:right w:val="nil"/>
            </w:tcBorders>
          </w:tcPr>
          <w:p w:rsidR="00ED7F17" w:rsidRDefault="00ED7F17">
            <w:pPr>
              <w:snapToGrid w:val="0"/>
              <w:spacing w:line="276" w:lineRule="auto"/>
              <w:rPr>
                <w:color w:val="000000"/>
                <w:sz w:val="20"/>
                <w:szCs w:val="20"/>
              </w:rPr>
            </w:pPr>
          </w:p>
        </w:tc>
      </w:tr>
      <w:tr w:rsidR="00ED7F17" w:rsidTr="00ED7F17">
        <w:trPr>
          <w:trHeight w:val="300"/>
        </w:trPr>
        <w:tc>
          <w:tcPr>
            <w:tcW w:w="1768"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rPr>
                <w:rFonts w:ascii="Arial" w:eastAsia="Arial" w:hAnsi="Arial" w:cs="Arial"/>
                <w:sz w:val="22"/>
                <w:szCs w:val="22"/>
              </w:rPr>
            </w:pPr>
            <w:r>
              <w:rPr>
                <w:color w:val="000000"/>
                <w:sz w:val="20"/>
                <w:szCs w:val="20"/>
              </w:rPr>
              <w:t>Старшая операционная  медицинская сестра</w:t>
            </w:r>
          </w:p>
        </w:tc>
        <w:tc>
          <w:tcPr>
            <w:tcW w:w="1070"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1</w:t>
            </w:r>
          </w:p>
        </w:tc>
        <w:tc>
          <w:tcPr>
            <w:tcW w:w="1165"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1</w:t>
            </w:r>
          </w:p>
        </w:tc>
        <w:tc>
          <w:tcPr>
            <w:tcW w:w="1385" w:type="dxa"/>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1362" w:type="dxa"/>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671"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1</w:t>
            </w:r>
          </w:p>
        </w:tc>
        <w:tc>
          <w:tcPr>
            <w:tcW w:w="1367" w:type="dxa"/>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1567" w:type="dxa"/>
            <w:gridSpan w:val="2"/>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31" w:type="dxa"/>
            <w:tcBorders>
              <w:top w:val="nil"/>
              <w:left w:val="single" w:sz="8" w:space="0" w:color="000080"/>
              <w:bottom w:val="nil"/>
              <w:right w:val="nil"/>
            </w:tcBorders>
          </w:tcPr>
          <w:p w:rsidR="00ED7F17" w:rsidRDefault="00ED7F17">
            <w:pPr>
              <w:snapToGrid w:val="0"/>
              <w:spacing w:line="276" w:lineRule="auto"/>
              <w:rPr>
                <w:color w:val="000000"/>
                <w:sz w:val="20"/>
                <w:szCs w:val="20"/>
              </w:rPr>
            </w:pPr>
          </w:p>
        </w:tc>
      </w:tr>
      <w:tr w:rsidR="00ED7F17" w:rsidTr="00ED7F17">
        <w:trPr>
          <w:trHeight w:val="312"/>
        </w:trPr>
        <w:tc>
          <w:tcPr>
            <w:tcW w:w="1768"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rPr>
                <w:rFonts w:ascii="Arial" w:eastAsia="Arial" w:hAnsi="Arial" w:cs="Arial"/>
                <w:sz w:val="22"/>
                <w:szCs w:val="22"/>
              </w:rPr>
            </w:pPr>
            <w:r>
              <w:rPr>
                <w:color w:val="000000"/>
                <w:sz w:val="20"/>
                <w:szCs w:val="20"/>
              </w:rPr>
              <w:t>Операционная медицинская  сестра</w:t>
            </w:r>
          </w:p>
        </w:tc>
        <w:tc>
          <w:tcPr>
            <w:tcW w:w="1070"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10</w:t>
            </w:r>
          </w:p>
        </w:tc>
        <w:tc>
          <w:tcPr>
            <w:tcW w:w="1165"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9</w:t>
            </w:r>
          </w:p>
        </w:tc>
        <w:tc>
          <w:tcPr>
            <w:tcW w:w="1385" w:type="dxa"/>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1362" w:type="dxa"/>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671"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9</w:t>
            </w:r>
          </w:p>
        </w:tc>
        <w:tc>
          <w:tcPr>
            <w:tcW w:w="1367" w:type="dxa"/>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1567" w:type="dxa"/>
            <w:gridSpan w:val="2"/>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31" w:type="dxa"/>
            <w:tcBorders>
              <w:top w:val="nil"/>
              <w:left w:val="single" w:sz="8" w:space="0" w:color="000080"/>
              <w:bottom w:val="nil"/>
              <w:right w:val="nil"/>
            </w:tcBorders>
          </w:tcPr>
          <w:p w:rsidR="00ED7F17" w:rsidRDefault="00ED7F17">
            <w:pPr>
              <w:snapToGrid w:val="0"/>
              <w:spacing w:line="276" w:lineRule="auto"/>
              <w:rPr>
                <w:b/>
                <w:bCs/>
                <w:color w:val="000000"/>
                <w:sz w:val="20"/>
                <w:szCs w:val="20"/>
              </w:rPr>
            </w:pPr>
          </w:p>
        </w:tc>
      </w:tr>
      <w:tr w:rsidR="00ED7F17" w:rsidTr="00ED7F17">
        <w:trPr>
          <w:trHeight w:val="252"/>
        </w:trPr>
        <w:tc>
          <w:tcPr>
            <w:tcW w:w="1768"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rPr>
                <w:rFonts w:ascii="Arial" w:eastAsia="Arial" w:hAnsi="Arial" w:cs="Arial"/>
                <w:sz w:val="22"/>
                <w:szCs w:val="22"/>
              </w:rPr>
            </w:pPr>
            <w:r>
              <w:rPr>
                <w:b/>
                <w:bCs/>
                <w:color w:val="000000"/>
                <w:sz w:val="20"/>
                <w:szCs w:val="20"/>
              </w:rPr>
              <w:t>Социальные работники всего,</w:t>
            </w:r>
          </w:p>
        </w:tc>
        <w:tc>
          <w:tcPr>
            <w:tcW w:w="1070"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b/>
                <w:bCs/>
                <w:color w:val="000000"/>
                <w:sz w:val="20"/>
                <w:szCs w:val="20"/>
              </w:rPr>
              <w:t>1,25</w:t>
            </w:r>
          </w:p>
        </w:tc>
        <w:tc>
          <w:tcPr>
            <w:tcW w:w="1165"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b/>
                <w:bCs/>
                <w:color w:val="000000"/>
                <w:sz w:val="20"/>
                <w:szCs w:val="20"/>
              </w:rPr>
              <w:t>0,75</w:t>
            </w:r>
          </w:p>
        </w:tc>
        <w:tc>
          <w:tcPr>
            <w:tcW w:w="1385"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b/>
                <w:bCs/>
                <w:color w:val="000000"/>
                <w:sz w:val="20"/>
                <w:szCs w:val="20"/>
              </w:rPr>
              <w:t>0</w:t>
            </w:r>
          </w:p>
        </w:tc>
        <w:tc>
          <w:tcPr>
            <w:tcW w:w="1362"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b/>
                <w:bCs/>
                <w:color w:val="000000"/>
                <w:sz w:val="20"/>
                <w:szCs w:val="20"/>
              </w:rPr>
              <w:t>0</w:t>
            </w:r>
          </w:p>
        </w:tc>
        <w:tc>
          <w:tcPr>
            <w:tcW w:w="671"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b/>
                <w:bCs/>
                <w:color w:val="000000"/>
                <w:sz w:val="20"/>
                <w:szCs w:val="20"/>
              </w:rPr>
              <w:t>1</w:t>
            </w:r>
          </w:p>
        </w:tc>
        <w:tc>
          <w:tcPr>
            <w:tcW w:w="1367"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0</w:t>
            </w:r>
          </w:p>
        </w:tc>
        <w:tc>
          <w:tcPr>
            <w:tcW w:w="1567" w:type="dxa"/>
            <w:gridSpan w:val="2"/>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0</w:t>
            </w:r>
          </w:p>
        </w:tc>
        <w:tc>
          <w:tcPr>
            <w:tcW w:w="31" w:type="dxa"/>
            <w:tcBorders>
              <w:top w:val="nil"/>
              <w:left w:val="single" w:sz="8" w:space="0" w:color="000080"/>
              <w:bottom w:val="nil"/>
              <w:right w:val="nil"/>
            </w:tcBorders>
          </w:tcPr>
          <w:p w:rsidR="00ED7F17" w:rsidRDefault="00ED7F17">
            <w:pPr>
              <w:snapToGrid w:val="0"/>
              <w:spacing w:line="276" w:lineRule="auto"/>
              <w:rPr>
                <w:color w:val="000000"/>
                <w:sz w:val="20"/>
                <w:szCs w:val="20"/>
              </w:rPr>
            </w:pPr>
          </w:p>
        </w:tc>
      </w:tr>
      <w:tr w:rsidR="00ED7F17" w:rsidTr="00ED7F17">
        <w:trPr>
          <w:trHeight w:val="184"/>
        </w:trPr>
        <w:tc>
          <w:tcPr>
            <w:tcW w:w="1768"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rPr>
                <w:rFonts w:ascii="Arial" w:eastAsia="Arial" w:hAnsi="Arial" w:cs="Arial"/>
                <w:sz w:val="22"/>
                <w:szCs w:val="22"/>
              </w:rPr>
            </w:pPr>
            <w:r>
              <w:rPr>
                <w:color w:val="000000"/>
                <w:sz w:val="20"/>
                <w:szCs w:val="20"/>
              </w:rPr>
              <w:t xml:space="preserve">Медицинский психолог </w:t>
            </w:r>
          </w:p>
        </w:tc>
        <w:tc>
          <w:tcPr>
            <w:tcW w:w="1070"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1,25</w:t>
            </w:r>
          </w:p>
        </w:tc>
        <w:tc>
          <w:tcPr>
            <w:tcW w:w="1165"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0,75</w:t>
            </w:r>
          </w:p>
        </w:tc>
        <w:tc>
          <w:tcPr>
            <w:tcW w:w="1385" w:type="dxa"/>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1362" w:type="dxa"/>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671"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1</w:t>
            </w:r>
          </w:p>
        </w:tc>
        <w:tc>
          <w:tcPr>
            <w:tcW w:w="1367" w:type="dxa"/>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1567" w:type="dxa"/>
            <w:gridSpan w:val="2"/>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31" w:type="dxa"/>
            <w:tcBorders>
              <w:top w:val="nil"/>
              <w:left w:val="single" w:sz="8" w:space="0" w:color="000080"/>
              <w:bottom w:val="nil"/>
              <w:right w:val="nil"/>
            </w:tcBorders>
          </w:tcPr>
          <w:p w:rsidR="00ED7F17" w:rsidRDefault="00ED7F17">
            <w:pPr>
              <w:snapToGrid w:val="0"/>
              <w:spacing w:line="276" w:lineRule="auto"/>
              <w:rPr>
                <w:b/>
                <w:bCs/>
                <w:color w:val="000000"/>
                <w:sz w:val="20"/>
                <w:szCs w:val="20"/>
              </w:rPr>
            </w:pPr>
          </w:p>
        </w:tc>
      </w:tr>
      <w:tr w:rsidR="00ED7F17" w:rsidTr="00ED7F17">
        <w:trPr>
          <w:trHeight w:val="252"/>
        </w:trPr>
        <w:tc>
          <w:tcPr>
            <w:tcW w:w="1768"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rPr>
                <w:rFonts w:ascii="Arial" w:eastAsia="Arial" w:hAnsi="Arial" w:cs="Arial"/>
                <w:sz w:val="22"/>
                <w:szCs w:val="22"/>
              </w:rPr>
            </w:pPr>
            <w:r>
              <w:rPr>
                <w:b/>
                <w:bCs/>
                <w:color w:val="000000"/>
                <w:sz w:val="20"/>
                <w:szCs w:val="20"/>
              </w:rPr>
              <w:t>Педагогические работники всего ,</w:t>
            </w:r>
          </w:p>
        </w:tc>
        <w:tc>
          <w:tcPr>
            <w:tcW w:w="1070"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b/>
                <w:bCs/>
                <w:color w:val="000000"/>
                <w:sz w:val="20"/>
                <w:szCs w:val="20"/>
              </w:rPr>
              <w:t>1</w:t>
            </w:r>
          </w:p>
        </w:tc>
        <w:tc>
          <w:tcPr>
            <w:tcW w:w="1165" w:type="dxa"/>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1385"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b/>
                <w:bCs/>
                <w:color w:val="000000"/>
                <w:sz w:val="20"/>
                <w:szCs w:val="20"/>
              </w:rPr>
              <w:t>1</w:t>
            </w:r>
          </w:p>
        </w:tc>
        <w:tc>
          <w:tcPr>
            <w:tcW w:w="1362" w:type="dxa"/>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b/>
                <w:bCs/>
                <w:color w:val="000000"/>
                <w:sz w:val="20"/>
                <w:szCs w:val="20"/>
              </w:rPr>
            </w:pPr>
          </w:p>
        </w:tc>
        <w:tc>
          <w:tcPr>
            <w:tcW w:w="671"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b/>
                <w:bCs/>
                <w:color w:val="000000"/>
                <w:sz w:val="20"/>
                <w:szCs w:val="20"/>
              </w:rPr>
              <w:t>0</w:t>
            </w:r>
          </w:p>
        </w:tc>
        <w:tc>
          <w:tcPr>
            <w:tcW w:w="1367"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b/>
                <w:bCs/>
                <w:color w:val="000000"/>
                <w:sz w:val="20"/>
                <w:szCs w:val="20"/>
              </w:rPr>
              <w:t>0</w:t>
            </w:r>
          </w:p>
        </w:tc>
        <w:tc>
          <w:tcPr>
            <w:tcW w:w="1567" w:type="dxa"/>
            <w:gridSpan w:val="2"/>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b/>
                <w:bCs/>
                <w:color w:val="000000"/>
                <w:sz w:val="20"/>
                <w:szCs w:val="20"/>
              </w:rPr>
              <w:t>2</w:t>
            </w:r>
          </w:p>
        </w:tc>
        <w:tc>
          <w:tcPr>
            <w:tcW w:w="31" w:type="dxa"/>
            <w:tcBorders>
              <w:top w:val="nil"/>
              <w:left w:val="single" w:sz="8" w:space="0" w:color="000080"/>
              <w:bottom w:val="nil"/>
              <w:right w:val="nil"/>
            </w:tcBorders>
          </w:tcPr>
          <w:p w:rsidR="00ED7F17" w:rsidRDefault="00ED7F17">
            <w:pPr>
              <w:snapToGrid w:val="0"/>
              <w:spacing w:line="276" w:lineRule="auto"/>
              <w:rPr>
                <w:color w:val="000000"/>
                <w:sz w:val="20"/>
                <w:szCs w:val="20"/>
              </w:rPr>
            </w:pPr>
          </w:p>
        </w:tc>
      </w:tr>
      <w:tr w:rsidR="00ED7F17" w:rsidTr="00ED7F17">
        <w:trPr>
          <w:trHeight w:val="161"/>
        </w:trPr>
        <w:tc>
          <w:tcPr>
            <w:tcW w:w="1768"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rPr>
                <w:rFonts w:ascii="Arial" w:eastAsia="Arial" w:hAnsi="Arial" w:cs="Arial"/>
                <w:sz w:val="22"/>
                <w:szCs w:val="22"/>
              </w:rPr>
            </w:pPr>
            <w:r>
              <w:rPr>
                <w:color w:val="000000"/>
                <w:sz w:val="20"/>
                <w:szCs w:val="20"/>
              </w:rPr>
              <w:t>Логопед</w:t>
            </w:r>
          </w:p>
        </w:tc>
        <w:tc>
          <w:tcPr>
            <w:tcW w:w="1070" w:type="dxa"/>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1165" w:type="dxa"/>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1385"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1</w:t>
            </w:r>
          </w:p>
        </w:tc>
        <w:tc>
          <w:tcPr>
            <w:tcW w:w="1362" w:type="dxa"/>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671" w:type="dxa"/>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1367" w:type="dxa"/>
            <w:tcBorders>
              <w:top w:val="single" w:sz="8" w:space="0" w:color="000080"/>
              <w:left w:val="single" w:sz="8" w:space="0" w:color="000080"/>
              <w:bottom w:val="single" w:sz="8" w:space="0" w:color="000080"/>
              <w:right w:val="nil"/>
            </w:tcBorders>
            <w:shd w:val="clear" w:color="auto" w:fill="FFFFFF"/>
            <w:vAlign w:val="bottom"/>
          </w:tcPr>
          <w:p w:rsidR="00ED7F17" w:rsidRDefault="00ED7F17">
            <w:pPr>
              <w:snapToGrid w:val="0"/>
              <w:jc w:val="center"/>
              <w:rPr>
                <w:color w:val="000000"/>
                <w:sz w:val="20"/>
                <w:szCs w:val="20"/>
              </w:rPr>
            </w:pPr>
          </w:p>
        </w:tc>
        <w:tc>
          <w:tcPr>
            <w:tcW w:w="1567" w:type="dxa"/>
            <w:gridSpan w:val="2"/>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2</w:t>
            </w:r>
          </w:p>
        </w:tc>
        <w:tc>
          <w:tcPr>
            <w:tcW w:w="31" w:type="dxa"/>
            <w:tcBorders>
              <w:top w:val="nil"/>
              <w:left w:val="single" w:sz="8" w:space="0" w:color="000080"/>
              <w:bottom w:val="nil"/>
              <w:right w:val="nil"/>
            </w:tcBorders>
          </w:tcPr>
          <w:p w:rsidR="00ED7F17" w:rsidRDefault="00ED7F17">
            <w:pPr>
              <w:snapToGrid w:val="0"/>
              <w:spacing w:line="276" w:lineRule="auto"/>
              <w:rPr>
                <w:b/>
                <w:bCs/>
                <w:color w:val="000000"/>
                <w:sz w:val="20"/>
                <w:szCs w:val="20"/>
              </w:rPr>
            </w:pPr>
          </w:p>
        </w:tc>
      </w:tr>
      <w:tr w:rsidR="00ED7F17" w:rsidTr="00ED7F17">
        <w:trPr>
          <w:trHeight w:val="181"/>
        </w:trPr>
        <w:tc>
          <w:tcPr>
            <w:tcW w:w="1768"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rPr>
                <w:rFonts w:ascii="Arial" w:eastAsia="Arial" w:hAnsi="Arial" w:cs="Arial"/>
                <w:sz w:val="22"/>
                <w:szCs w:val="22"/>
              </w:rPr>
            </w:pPr>
            <w:r>
              <w:rPr>
                <w:b/>
                <w:bCs/>
                <w:color w:val="000000"/>
                <w:sz w:val="20"/>
                <w:szCs w:val="20"/>
              </w:rPr>
              <w:t>Младщий медицинский персонал всего,</w:t>
            </w:r>
          </w:p>
        </w:tc>
        <w:tc>
          <w:tcPr>
            <w:tcW w:w="1070"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b/>
                <w:bCs/>
                <w:color w:val="000000"/>
                <w:sz w:val="20"/>
                <w:szCs w:val="20"/>
              </w:rPr>
              <w:t>35</w:t>
            </w:r>
          </w:p>
        </w:tc>
        <w:tc>
          <w:tcPr>
            <w:tcW w:w="1165"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b/>
                <w:bCs/>
                <w:color w:val="000000"/>
                <w:sz w:val="20"/>
                <w:szCs w:val="20"/>
              </w:rPr>
              <w:t>32</w:t>
            </w:r>
          </w:p>
        </w:tc>
        <w:tc>
          <w:tcPr>
            <w:tcW w:w="1385"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b/>
                <w:bCs/>
                <w:color w:val="000000"/>
                <w:sz w:val="20"/>
                <w:szCs w:val="20"/>
              </w:rPr>
              <w:t>0</w:t>
            </w:r>
          </w:p>
        </w:tc>
        <w:tc>
          <w:tcPr>
            <w:tcW w:w="1362"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b/>
                <w:bCs/>
                <w:color w:val="000000"/>
                <w:sz w:val="20"/>
                <w:szCs w:val="20"/>
              </w:rPr>
              <w:t>4,5</w:t>
            </w:r>
          </w:p>
        </w:tc>
        <w:tc>
          <w:tcPr>
            <w:tcW w:w="671"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b/>
                <w:bCs/>
                <w:color w:val="000000"/>
                <w:sz w:val="20"/>
                <w:szCs w:val="20"/>
              </w:rPr>
              <w:t>40</w:t>
            </w:r>
          </w:p>
        </w:tc>
        <w:tc>
          <w:tcPr>
            <w:tcW w:w="1367"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8</w:t>
            </w:r>
          </w:p>
        </w:tc>
        <w:tc>
          <w:tcPr>
            <w:tcW w:w="1567" w:type="dxa"/>
            <w:gridSpan w:val="2"/>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0</w:t>
            </w:r>
          </w:p>
        </w:tc>
        <w:tc>
          <w:tcPr>
            <w:tcW w:w="31" w:type="dxa"/>
            <w:tcBorders>
              <w:top w:val="nil"/>
              <w:left w:val="single" w:sz="8" w:space="0" w:color="000080"/>
              <w:bottom w:val="nil"/>
              <w:right w:val="nil"/>
            </w:tcBorders>
          </w:tcPr>
          <w:p w:rsidR="00ED7F17" w:rsidRDefault="00ED7F17">
            <w:pPr>
              <w:snapToGrid w:val="0"/>
              <w:spacing w:line="276" w:lineRule="auto"/>
              <w:rPr>
                <w:color w:val="000000"/>
                <w:sz w:val="20"/>
                <w:szCs w:val="20"/>
              </w:rPr>
            </w:pPr>
          </w:p>
        </w:tc>
      </w:tr>
      <w:tr w:rsidR="00ED7F17" w:rsidTr="00ED7F17">
        <w:trPr>
          <w:trHeight w:val="60"/>
        </w:trPr>
        <w:tc>
          <w:tcPr>
            <w:tcW w:w="1768"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rPr>
                <w:rFonts w:ascii="Arial" w:eastAsia="Arial" w:hAnsi="Arial" w:cs="Arial"/>
                <w:sz w:val="22"/>
                <w:szCs w:val="22"/>
              </w:rPr>
            </w:pPr>
            <w:r>
              <w:rPr>
                <w:color w:val="000000"/>
                <w:sz w:val="20"/>
                <w:szCs w:val="20"/>
              </w:rPr>
              <w:t>Санитарка(санитар)</w:t>
            </w:r>
          </w:p>
        </w:tc>
        <w:tc>
          <w:tcPr>
            <w:tcW w:w="1070"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34</w:t>
            </w:r>
          </w:p>
        </w:tc>
        <w:tc>
          <w:tcPr>
            <w:tcW w:w="1165"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31</w:t>
            </w:r>
          </w:p>
        </w:tc>
        <w:tc>
          <w:tcPr>
            <w:tcW w:w="1385"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0</w:t>
            </w:r>
          </w:p>
        </w:tc>
        <w:tc>
          <w:tcPr>
            <w:tcW w:w="1362"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4,5</w:t>
            </w:r>
          </w:p>
        </w:tc>
        <w:tc>
          <w:tcPr>
            <w:tcW w:w="671"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39</w:t>
            </w:r>
          </w:p>
        </w:tc>
        <w:tc>
          <w:tcPr>
            <w:tcW w:w="1367"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8</w:t>
            </w:r>
          </w:p>
        </w:tc>
        <w:tc>
          <w:tcPr>
            <w:tcW w:w="1567" w:type="dxa"/>
            <w:gridSpan w:val="2"/>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0</w:t>
            </w:r>
          </w:p>
        </w:tc>
        <w:tc>
          <w:tcPr>
            <w:tcW w:w="31" w:type="dxa"/>
            <w:tcBorders>
              <w:top w:val="nil"/>
              <w:left w:val="single" w:sz="8" w:space="0" w:color="000080"/>
              <w:bottom w:val="nil"/>
              <w:right w:val="nil"/>
            </w:tcBorders>
          </w:tcPr>
          <w:p w:rsidR="00ED7F17" w:rsidRDefault="00ED7F17">
            <w:pPr>
              <w:snapToGrid w:val="0"/>
              <w:spacing w:line="276" w:lineRule="auto"/>
              <w:rPr>
                <w:color w:val="000000"/>
                <w:sz w:val="20"/>
                <w:szCs w:val="20"/>
              </w:rPr>
            </w:pPr>
          </w:p>
        </w:tc>
      </w:tr>
      <w:tr w:rsidR="00ED7F17" w:rsidTr="00ED7F17">
        <w:trPr>
          <w:trHeight w:val="175"/>
        </w:trPr>
        <w:tc>
          <w:tcPr>
            <w:tcW w:w="1768"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rPr>
                <w:rFonts w:ascii="Arial" w:eastAsia="Arial" w:hAnsi="Arial" w:cs="Arial"/>
                <w:sz w:val="22"/>
                <w:szCs w:val="22"/>
              </w:rPr>
            </w:pPr>
            <w:r>
              <w:rPr>
                <w:color w:val="000000"/>
                <w:sz w:val="20"/>
                <w:szCs w:val="20"/>
              </w:rPr>
              <w:t xml:space="preserve">Сестра-хозяйка </w:t>
            </w:r>
          </w:p>
        </w:tc>
        <w:tc>
          <w:tcPr>
            <w:tcW w:w="1070"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1</w:t>
            </w:r>
          </w:p>
        </w:tc>
        <w:tc>
          <w:tcPr>
            <w:tcW w:w="1165"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1</w:t>
            </w:r>
          </w:p>
        </w:tc>
        <w:tc>
          <w:tcPr>
            <w:tcW w:w="1385"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0</w:t>
            </w:r>
          </w:p>
        </w:tc>
        <w:tc>
          <w:tcPr>
            <w:tcW w:w="1362"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0</w:t>
            </w:r>
          </w:p>
        </w:tc>
        <w:tc>
          <w:tcPr>
            <w:tcW w:w="671"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1</w:t>
            </w:r>
          </w:p>
        </w:tc>
        <w:tc>
          <w:tcPr>
            <w:tcW w:w="1367"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0</w:t>
            </w:r>
          </w:p>
        </w:tc>
        <w:tc>
          <w:tcPr>
            <w:tcW w:w="1567" w:type="dxa"/>
            <w:gridSpan w:val="2"/>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0</w:t>
            </w:r>
          </w:p>
        </w:tc>
        <w:tc>
          <w:tcPr>
            <w:tcW w:w="31" w:type="dxa"/>
            <w:tcBorders>
              <w:top w:val="nil"/>
              <w:left w:val="single" w:sz="8" w:space="0" w:color="000080"/>
              <w:bottom w:val="nil"/>
              <w:right w:val="nil"/>
            </w:tcBorders>
          </w:tcPr>
          <w:p w:rsidR="00ED7F17" w:rsidRDefault="00ED7F17">
            <w:pPr>
              <w:snapToGrid w:val="0"/>
              <w:spacing w:line="276" w:lineRule="auto"/>
              <w:rPr>
                <w:b/>
                <w:bCs/>
                <w:color w:val="000000"/>
                <w:sz w:val="20"/>
                <w:szCs w:val="20"/>
              </w:rPr>
            </w:pPr>
          </w:p>
        </w:tc>
      </w:tr>
      <w:tr w:rsidR="00ED7F17" w:rsidTr="00ED7F17">
        <w:trPr>
          <w:trHeight w:val="263"/>
        </w:trPr>
        <w:tc>
          <w:tcPr>
            <w:tcW w:w="1768"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rPr>
                <w:rFonts w:ascii="Arial" w:eastAsia="Arial" w:hAnsi="Arial" w:cs="Arial"/>
                <w:sz w:val="22"/>
                <w:szCs w:val="22"/>
              </w:rPr>
            </w:pPr>
            <w:r>
              <w:rPr>
                <w:b/>
                <w:bCs/>
                <w:color w:val="000000"/>
                <w:sz w:val="20"/>
                <w:szCs w:val="20"/>
              </w:rPr>
              <w:t>Прочий персонал  всего</w:t>
            </w:r>
          </w:p>
        </w:tc>
        <w:tc>
          <w:tcPr>
            <w:tcW w:w="1070"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b/>
                <w:bCs/>
                <w:color w:val="000000"/>
                <w:sz w:val="20"/>
                <w:szCs w:val="20"/>
              </w:rPr>
              <w:t>20</w:t>
            </w:r>
          </w:p>
        </w:tc>
        <w:tc>
          <w:tcPr>
            <w:tcW w:w="1165"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b/>
                <w:bCs/>
                <w:color w:val="000000"/>
                <w:sz w:val="20"/>
                <w:szCs w:val="20"/>
              </w:rPr>
              <w:t>20</w:t>
            </w:r>
          </w:p>
        </w:tc>
        <w:tc>
          <w:tcPr>
            <w:tcW w:w="1385"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b/>
                <w:bCs/>
                <w:color w:val="000000"/>
                <w:sz w:val="20"/>
                <w:szCs w:val="20"/>
              </w:rPr>
              <w:t>0</w:t>
            </w:r>
          </w:p>
        </w:tc>
        <w:tc>
          <w:tcPr>
            <w:tcW w:w="1362"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b/>
                <w:bCs/>
                <w:color w:val="000000"/>
                <w:sz w:val="20"/>
                <w:szCs w:val="20"/>
              </w:rPr>
              <w:t>0,75</w:t>
            </w:r>
          </w:p>
        </w:tc>
        <w:tc>
          <w:tcPr>
            <w:tcW w:w="671"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b/>
                <w:bCs/>
                <w:color w:val="000000"/>
                <w:sz w:val="20"/>
                <w:szCs w:val="20"/>
              </w:rPr>
              <w:t>36</w:t>
            </w:r>
          </w:p>
        </w:tc>
        <w:tc>
          <w:tcPr>
            <w:tcW w:w="1367"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b/>
                <w:bCs/>
                <w:color w:val="000000"/>
                <w:sz w:val="20"/>
                <w:szCs w:val="20"/>
              </w:rPr>
              <w:t>10</w:t>
            </w:r>
          </w:p>
        </w:tc>
        <w:tc>
          <w:tcPr>
            <w:tcW w:w="1567" w:type="dxa"/>
            <w:gridSpan w:val="2"/>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jc w:val="center"/>
              <w:rPr>
                <w:rFonts w:ascii="Arial" w:eastAsia="Arial" w:hAnsi="Arial" w:cs="Arial"/>
                <w:sz w:val="22"/>
                <w:szCs w:val="22"/>
              </w:rPr>
            </w:pPr>
            <w:r>
              <w:rPr>
                <w:color w:val="000000"/>
                <w:sz w:val="20"/>
                <w:szCs w:val="20"/>
              </w:rPr>
              <w:t>0</w:t>
            </w:r>
          </w:p>
        </w:tc>
        <w:tc>
          <w:tcPr>
            <w:tcW w:w="31" w:type="dxa"/>
            <w:tcBorders>
              <w:top w:val="nil"/>
              <w:left w:val="single" w:sz="8" w:space="0" w:color="000080"/>
              <w:bottom w:val="nil"/>
              <w:right w:val="nil"/>
            </w:tcBorders>
          </w:tcPr>
          <w:p w:rsidR="00ED7F17" w:rsidRDefault="00ED7F17">
            <w:pPr>
              <w:snapToGrid w:val="0"/>
              <w:spacing w:line="276" w:lineRule="auto"/>
              <w:rPr>
                <w:color w:val="000000"/>
                <w:sz w:val="20"/>
                <w:szCs w:val="20"/>
              </w:rPr>
            </w:pPr>
          </w:p>
        </w:tc>
      </w:tr>
    </w:tbl>
    <w:p w:rsidR="00ED7F17" w:rsidRDefault="00ED7F17" w:rsidP="00ED7F17">
      <w:pPr>
        <w:ind w:left="720" w:firstLine="709"/>
        <w:jc w:val="both"/>
        <w:rPr>
          <w:rFonts w:eastAsia="Arial"/>
          <w:b/>
          <w:bCs/>
          <w:highlight w:val="white"/>
        </w:rPr>
      </w:pPr>
    </w:p>
    <w:p w:rsidR="00ED7F17" w:rsidRDefault="00ED7F17" w:rsidP="00ED7F17">
      <w:pPr>
        <w:jc w:val="center"/>
        <w:rPr>
          <w:b/>
          <w:bCs/>
          <w:sz w:val="20"/>
          <w:szCs w:val="20"/>
          <w:highlight w:val="white"/>
        </w:rPr>
      </w:pPr>
    </w:p>
    <w:tbl>
      <w:tblPr>
        <w:tblW w:w="0" w:type="auto"/>
        <w:tblInd w:w="-15" w:type="dxa"/>
        <w:tblLayout w:type="fixed"/>
        <w:tblCellMar>
          <w:left w:w="30" w:type="dxa"/>
          <w:right w:w="30" w:type="dxa"/>
        </w:tblCellMar>
        <w:tblLook w:val="04A0" w:firstRow="1" w:lastRow="0" w:firstColumn="1" w:lastColumn="0" w:noHBand="0" w:noVBand="1"/>
      </w:tblPr>
      <w:tblGrid>
        <w:gridCol w:w="1644"/>
        <w:gridCol w:w="1111"/>
        <w:gridCol w:w="1206"/>
        <w:gridCol w:w="1488"/>
        <w:gridCol w:w="1488"/>
        <w:gridCol w:w="583"/>
        <w:gridCol w:w="1405"/>
        <w:gridCol w:w="1405"/>
        <w:gridCol w:w="30"/>
      </w:tblGrid>
      <w:tr w:rsidR="00ED7F17" w:rsidTr="00ED7F17">
        <w:trPr>
          <w:gridAfter w:val="1"/>
          <w:wAfter w:w="30" w:type="dxa"/>
          <w:trHeight w:val="336"/>
        </w:trPr>
        <w:tc>
          <w:tcPr>
            <w:tcW w:w="10330" w:type="dxa"/>
            <w:gridSpan w:val="8"/>
            <w:hideMark/>
          </w:tcPr>
          <w:p w:rsidR="00ED7F17" w:rsidRDefault="00ED7F17">
            <w:pPr>
              <w:suppressAutoHyphens w:val="0"/>
              <w:autoSpaceDE w:val="0"/>
              <w:jc w:val="center"/>
              <w:rPr>
                <w:rFonts w:ascii="Arial" w:eastAsia="Arial" w:hAnsi="Arial" w:cs="Arial"/>
                <w:sz w:val="22"/>
                <w:szCs w:val="22"/>
              </w:rPr>
            </w:pPr>
            <w:r>
              <w:rPr>
                <w:b/>
                <w:bCs/>
                <w:color w:val="000000"/>
                <w:sz w:val="20"/>
                <w:szCs w:val="20"/>
                <w:lang w:eastAsia="ru-RU"/>
              </w:rPr>
              <w:t>Информация по числу штатных должностей первичного сосудистого отделения</w:t>
            </w:r>
          </w:p>
          <w:p w:rsidR="00ED7F17" w:rsidRDefault="00ED7F17">
            <w:pPr>
              <w:suppressAutoHyphens w:val="0"/>
              <w:autoSpaceDE w:val="0"/>
              <w:jc w:val="center"/>
              <w:rPr>
                <w:rFonts w:ascii="Arial" w:eastAsia="Arial" w:hAnsi="Arial" w:cs="Arial"/>
                <w:sz w:val="22"/>
                <w:szCs w:val="22"/>
              </w:rPr>
            </w:pPr>
            <w:r>
              <w:rPr>
                <w:b/>
                <w:bCs/>
                <w:color w:val="000000"/>
                <w:sz w:val="20"/>
                <w:szCs w:val="20"/>
                <w:lang w:eastAsia="ru-RU"/>
              </w:rPr>
              <w:t>ГБУЗ АО «Ахтубинская РБ»</w:t>
            </w:r>
          </w:p>
        </w:tc>
      </w:tr>
      <w:tr w:rsidR="00ED7F17" w:rsidTr="00ED7F17">
        <w:trPr>
          <w:trHeight w:val="680"/>
        </w:trPr>
        <w:tc>
          <w:tcPr>
            <w:tcW w:w="1644" w:type="dxa"/>
            <w:vMerge w:val="restart"/>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Наименование должности</w:t>
            </w:r>
          </w:p>
        </w:tc>
        <w:tc>
          <w:tcPr>
            <w:tcW w:w="1111" w:type="dxa"/>
            <w:vMerge w:val="restart"/>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Количество штатных должностей</w:t>
            </w:r>
          </w:p>
        </w:tc>
        <w:tc>
          <w:tcPr>
            <w:tcW w:w="4182" w:type="dxa"/>
            <w:gridSpan w:val="3"/>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Количество занятых должностей</w:t>
            </w:r>
          </w:p>
        </w:tc>
        <w:tc>
          <w:tcPr>
            <w:tcW w:w="1988" w:type="dxa"/>
            <w:gridSpan w:val="2"/>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Количество физических лиц, человек</w:t>
            </w:r>
          </w:p>
        </w:tc>
        <w:tc>
          <w:tcPr>
            <w:tcW w:w="1435" w:type="dxa"/>
            <w:gridSpan w:val="2"/>
            <w:vMerge w:val="restart"/>
            <w:tcBorders>
              <w:top w:val="single" w:sz="4" w:space="0" w:color="000000"/>
              <w:left w:val="single" w:sz="4" w:space="0" w:color="000000"/>
              <w:bottom w:val="single" w:sz="4" w:space="0" w:color="000000"/>
              <w:right w:val="single" w:sz="4" w:space="0" w:color="000000"/>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Кроме того, количество внешних совместителей, человек</w:t>
            </w:r>
          </w:p>
        </w:tc>
      </w:tr>
      <w:tr w:rsidR="00ED7F17" w:rsidTr="00ED7F17">
        <w:trPr>
          <w:trHeight w:val="340"/>
        </w:trPr>
        <w:tc>
          <w:tcPr>
            <w:tcW w:w="10330" w:type="dxa"/>
            <w:vMerge/>
            <w:tcBorders>
              <w:top w:val="single" w:sz="4" w:space="0" w:color="000000"/>
              <w:left w:val="single" w:sz="4"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1111" w:type="dxa"/>
            <w:vMerge/>
            <w:tcBorders>
              <w:top w:val="single" w:sz="4" w:space="0" w:color="000000"/>
              <w:left w:val="single" w:sz="4"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1206"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Основными работниками</w:t>
            </w:r>
          </w:p>
        </w:tc>
        <w:tc>
          <w:tcPr>
            <w:tcW w:w="1488"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Внешними совместителями</w:t>
            </w:r>
          </w:p>
        </w:tc>
        <w:tc>
          <w:tcPr>
            <w:tcW w:w="1488"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Внутренними совместителями</w:t>
            </w:r>
          </w:p>
        </w:tc>
        <w:tc>
          <w:tcPr>
            <w:tcW w:w="583"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всего, чел.</w:t>
            </w:r>
          </w:p>
        </w:tc>
        <w:tc>
          <w:tcPr>
            <w:tcW w:w="1405"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в том числе: внутренних совместителей, чел.</w:t>
            </w:r>
          </w:p>
        </w:tc>
        <w:tc>
          <w:tcPr>
            <w:tcW w:w="1579" w:type="dxa"/>
            <w:gridSpan w:val="2"/>
            <w:vMerge/>
            <w:tcBorders>
              <w:top w:val="single" w:sz="4" w:space="0" w:color="000000"/>
              <w:left w:val="single" w:sz="4"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r>
      <w:tr w:rsidR="00ED7F17" w:rsidTr="00ED7F17">
        <w:trPr>
          <w:trHeight w:val="242"/>
        </w:trPr>
        <w:tc>
          <w:tcPr>
            <w:tcW w:w="1644"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rPr>
                <w:rFonts w:ascii="Arial" w:eastAsia="Arial" w:hAnsi="Arial" w:cs="Arial"/>
                <w:sz w:val="22"/>
                <w:szCs w:val="22"/>
              </w:rPr>
            </w:pPr>
            <w:r>
              <w:rPr>
                <w:b/>
                <w:bCs/>
                <w:color w:val="000000"/>
                <w:sz w:val="20"/>
                <w:szCs w:val="20"/>
                <w:lang w:eastAsia="ru-RU"/>
              </w:rPr>
              <w:t>Врачи - специалисты всего</w:t>
            </w:r>
          </w:p>
        </w:tc>
        <w:tc>
          <w:tcPr>
            <w:tcW w:w="1111"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b/>
                <w:bCs/>
                <w:color w:val="000000"/>
                <w:sz w:val="20"/>
                <w:szCs w:val="20"/>
                <w:lang w:eastAsia="ru-RU"/>
              </w:rPr>
              <w:t>18,25</w:t>
            </w:r>
          </w:p>
        </w:tc>
        <w:tc>
          <w:tcPr>
            <w:tcW w:w="1206"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b/>
                <w:bCs/>
                <w:color w:val="000000"/>
                <w:sz w:val="20"/>
                <w:szCs w:val="20"/>
                <w:lang w:eastAsia="ru-RU"/>
              </w:rPr>
              <w:t>5</w:t>
            </w:r>
          </w:p>
        </w:tc>
        <w:tc>
          <w:tcPr>
            <w:tcW w:w="1488"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b/>
                <w:bCs/>
                <w:color w:val="000000"/>
                <w:sz w:val="20"/>
                <w:szCs w:val="20"/>
                <w:lang w:eastAsia="ru-RU"/>
              </w:rPr>
              <w:t>1</w:t>
            </w:r>
          </w:p>
        </w:tc>
        <w:tc>
          <w:tcPr>
            <w:tcW w:w="1488"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b/>
                <w:bCs/>
                <w:color w:val="000000"/>
                <w:sz w:val="20"/>
                <w:szCs w:val="20"/>
                <w:lang w:eastAsia="ru-RU"/>
              </w:rPr>
              <w:t>12</w:t>
            </w:r>
          </w:p>
        </w:tc>
        <w:tc>
          <w:tcPr>
            <w:tcW w:w="583"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b/>
                <w:bCs/>
                <w:color w:val="000000"/>
                <w:sz w:val="20"/>
                <w:szCs w:val="20"/>
                <w:lang w:eastAsia="ru-RU"/>
              </w:rPr>
              <w:t>13</w:t>
            </w:r>
          </w:p>
        </w:tc>
        <w:tc>
          <w:tcPr>
            <w:tcW w:w="1405"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b/>
                <w:bCs/>
                <w:color w:val="000000"/>
                <w:sz w:val="20"/>
                <w:szCs w:val="20"/>
                <w:lang w:eastAsia="ru-RU"/>
              </w:rPr>
              <w:t>8</w:t>
            </w:r>
          </w:p>
        </w:tc>
        <w:tc>
          <w:tcPr>
            <w:tcW w:w="1435" w:type="dxa"/>
            <w:gridSpan w:val="2"/>
            <w:tcBorders>
              <w:top w:val="single" w:sz="4" w:space="0" w:color="000000"/>
              <w:left w:val="single" w:sz="4" w:space="0" w:color="000000"/>
              <w:bottom w:val="single" w:sz="4" w:space="0" w:color="000000"/>
              <w:right w:val="single" w:sz="4" w:space="0" w:color="000000"/>
            </w:tcBorders>
            <w:hideMark/>
          </w:tcPr>
          <w:p w:rsidR="00ED7F17" w:rsidRDefault="00ED7F17">
            <w:pPr>
              <w:suppressAutoHyphens w:val="0"/>
              <w:autoSpaceDE w:val="0"/>
              <w:jc w:val="center"/>
              <w:rPr>
                <w:rFonts w:ascii="Arial" w:eastAsia="Arial" w:hAnsi="Arial" w:cs="Arial"/>
                <w:sz w:val="22"/>
                <w:szCs w:val="22"/>
              </w:rPr>
            </w:pPr>
            <w:r>
              <w:rPr>
                <w:b/>
                <w:bCs/>
                <w:color w:val="000000"/>
                <w:sz w:val="20"/>
                <w:szCs w:val="20"/>
                <w:lang w:eastAsia="ru-RU"/>
              </w:rPr>
              <w:t>1</w:t>
            </w:r>
          </w:p>
        </w:tc>
      </w:tr>
      <w:tr w:rsidR="00ED7F17" w:rsidTr="00ED7F17">
        <w:trPr>
          <w:trHeight w:val="246"/>
        </w:trPr>
        <w:tc>
          <w:tcPr>
            <w:tcW w:w="1644"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rPr>
                <w:rFonts w:ascii="Arial" w:eastAsia="Arial" w:hAnsi="Arial" w:cs="Arial"/>
                <w:sz w:val="22"/>
                <w:szCs w:val="22"/>
              </w:rPr>
            </w:pPr>
            <w:r>
              <w:rPr>
                <w:color w:val="000000"/>
                <w:sz w:val="20"/>
                <w:szCs w:val="20"/>
                <w:lang w:eastAsia="ru-RU"/>
              </w:rPr>
              <w:t>в том числе: врачи - кардиологи</w:t>
            </w:r>
          </w:p>
        </w:tc>
        <w:tc>
          <w:tcPr>
            <w:tcW w:w="1111"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5,25</w:t>
            </w:r>
          </w:p>
        </w:tc>
        <w:tc>
          <w:tcPr>
            <w:tcW w:w="1206"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2</w:t>
            </w:r>
          </w:p>
        </w:tc>
        <w:tc>
          <w:tcPr>
            <w:tcW w:w="1488" w:type="dxa"/>
            <w:tcBorders>
              <w:top w:val="single" w:sz="4" w:space="0" w:color="000000"/>
              <w:left w:val="single" w:sz="4" w:space="0" w:color="000000"/>
              <w:bottom w:val="single" w:sz="4" w:space="0" w:color="000000"/>
              <w:right w:val="nil"/>
            </w:tcBorders>
          </w:tcPr>
          <w:p w:rsidR="00ED7F17" w:rsidRDefault="00ED7F17">
            <w:pPr>
              <w:suppressAutoHyphens w:val="0"/>
              <w:autoSpaceDE w:val="0"/>
              <w:snapToGrid w:val="0"/>
              <w:jc w:val="center"/>
              <w:rPr>
                <w:rFonts w:ascii="Calibri" w:hAnsi="Calibri" w:cs="Calibri"/>
                <w:color w:val="000000"/>
                <w:sz w:val="20"/>
                <w:szCs w:val="20"/>
                <w:lang w:eastAsia="ru-RU"/>
              </w:rPr>
            </w:pPr>
          </w:p>
        </w:tc>
        <w:tc>
          <w:tcPr>
            <w:tcW w:w="1488"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3,25</w:t>
            </w:r>
          </w:p>
        </w:tc>
        <w:tc>
          <w:tcPr>
            <w:tcW w:w="583"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3</w:t>
            </w:r>
          </w:p>
        </w:tc>
        <w:tc>
          <w:tcPr>
            <w:tcW w:w="1405"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1</w:t>
            </w:r>
          </w:p>
        </w:tc>
        <w:tc>
          <w:tcPr>
            <w:tcW w:w="1435" w:type="dxa"/>
            <w:gridSpan w:val="2"/>
            <w:tcBorders>
              <w:top w:val="single" w:sz="4" w:space="0" w:color="000000"/>
              <w:left w:val="single" w:sz="4" w:space="0" w:color="000000"/>
              <w:bottom w:val="single" w:sz="4" w:space="0" w:color="000000"/>
              <w:right w:val="single" w:sz="4" w:space="0" w:color="000000"/>
            </w:tcBorders>
          </w:tcPr>
          <w:p w:rsidR="00ED7F17" w:rsidRDefault="00ED7F17">
            <w:pPr>
              <w:suppressAutoHyphens w:val="0"/>
              <w:autoSpaceDE w:val="0"/>
              <w:snapToGrid w:val="0"/>
              <w:jc w:val="center"/>
              <w:rPr>
                <w:rFonts w:ascii="Calibri" w:hAnsi="Calibri" w:cs="Calibri"/>
                <w:color w:val="000000"/>
                <w:sz w:val="20"/>
                <w:szCs w:val="20"/>
                <w:lang w:eastAsia="ru-RU"/>
              </w:rPr>
            </w:pPr>
          </w:p>
        </w:tc>
      </w:tr>
      <w:tr w:rsidR="00ED7F17" w:rsidTr="00ED7F17">
        <w:trPr>
          <w:trHeight w:val="171"/>
        </w:trPr>
        <w:tc>
          <w:tcPr>
            <w:tcW w:w="3961" w:type="dxa"/>
            <w:gridSpan w:val="3"/>
            <w:tcBorders>
              <w:top w:val="single" w:sz="4" w:space="0" w:color="000000"/>
              <w:left w:val="single" w:sz="4" w:space="0" w:color="000000"/>
              <w:bottom w:val="single" w:sz="4" w:space="0" w:color="000000"/>
              <w:right w:val="nil"/>
            </w:tcBorders>
          </w:tcPr>
          <w:p w:rsidR="00ED7F17" w:rsidRDefault="00ED7F17">
            <w:pPr>
              <w:suppressAutoHyphens w:val="0"/>
              <w:autoSpaceDE w:val="0"/>
              <w:snapToGrid w:val="0"/>
              <w:jc w:val="center"/>
              <w:rPr>
                <w:color w:val="000000"/>
                <w:kern w:val="2"/>
                <w:sz w:val="20"/>
                <w:szCs w:val="20"/>
                <w:lang w:eastAsia="ru-RU"/>
              </w:rPr>
            </w:pPr>
          </w:p>
        </w:tc>
        <w:tc>
          <w:tcPr>
            <w:tcW w:w="1488" w:type="dxa"/>
            <w:tcBorders>
              <w:top w:val="single" w:sz="4" w:space="0" w:color="000000"/>
              <w:left w:val="single" w:sz="4" w:space="0" w:color="000000"/>
              <w:bottom w:val="single" w:sz="4" w:space="0" w:color="000000"/>
              <w:right w:val="nil"/>
            </w:tcBorders>
          </w:tcPr>
          <w:p w:rsidR="00ED7F17" w:rsidRDefault="00ED7F17">
            <w:pPr>
              <w:suppressAutoHyphens w:val="0"/>
              <w:autoSpaceDE w:val="0"/>
              <w:snapToGrid w:val="0"/>
              <w:jc w:val="center"/>
              <w:rPr>
                <w:rFonts w:ascii="Calibri" w:hAnsi="Calibri" w:cs="Calibri"/>
                <w:color w:val="000000"/>
                <w:kern w:val="2"/>
                <w:sz w:val="20"/>
                <w:szCs w:val="20"/>
                <w:lang w:eastAsia="ru-RU"/>
              </w:rPr>
            </w:pPr>
          </w:p>
        </w:tc>
        <w:tc>
          <w:tcPr>
            <w:tcW w:w="1488" w:type="dxa"/>
            <w:tcBorders>
              <w:top w:val="single" w:sz="4" w:space="0" w:color="000000"/>
              <w:left w:val="single" w:sz="4" w:space="0" w:color="000000"/>
              <w:bottom w:val="single" w:sz="4" w:space="0" w:color="000000"/>
              <w:right w:val="nil"/>
            </w:tcBorders>
          </w:tcPr>
          <w:p w:rsidR="00ED7F17" w:rsidRDefault="00ED7F17">
            <w:pPr>
              <w:suppressAutoHyphens w:val="0"/>
              <w:autoSpaceDE w:val="0"/>
              <w:snapToGrid w:val="0"/>
              <w:jc w:val="center"/>
              <w:rPr>
                <w:rFonts w:ascii="Calibri" w:hAnsi="Calibri" w:cs="Calibri"/>
                <w:color w:val="000000"/>
                <w:kern w:val="2"/>
                <w:sz w:val="20"/>
                <w:szCs w:val="20"/>
                <w:lang w:eastAsia="ru-RU"/>
              </w:rPr>
            </w:pPr>
          </w:p>
        </w:tc>
        <w:tc>
          <w:tcPr>
            <w:tcW w:w="583" w:type="dxa"/>
            <w:tcBorders>
              <w:top w:val="single" w:sz="4" w:space="0" w:color="000000"/>
              <w:left w:val="single" w:sz="4" w:space="0" w:color="000000"/>
              <w:bottom w:val="single" w:sz="4" w:space="0" w:color="000000"/>
              <w:right w:val="nil"/>
            </w:tcBorders>
          </w:tcPr>
          <w:p w:rsidR="00ED7F17" w:rsidRDefault="00ED7F17">
            <w:pPr>
              <w:suppressAutoHyphens w:val="0"/>
              <w:autoSpaceDE w:val="0"/>
              <w:snapToGrid w:val="0"/>
              <w:jc w:val="center"/>
              <w:rPr>
                <w:rFonts w:ascii="Calibri" w:hAnsi="Calibri" w:cs="Calibri"/>
                <w:color w:val="000000"/>
                <w:sz w:val="20"/>
                <w:szCs w:val="20"/>
                <w:lang w:eastAsia="ru-RU"/>
              </w:rPr>
            </w:pPr>
          </w:p>
        </w:tc>
        <w:tc>
          <w:tcPr>
            <w:tcW w:w="1405" w:type="dxa"/>
            <w:tcBorders>
              <w:top w:val="single" w:sz="4" w:space="0" w:color="000000"/>
              <w:left w:val="single" w:sz="4" w:space="0" w:color="000000"/>
              <w:bottom w:val="single" w:sz="4" w:space="0" w:color="000000"/>
              <w:right w:val="nil"/>
            </w:tcBorders>
          </w:tcPr>
          <w:p w:rsidR="00ED7F17" w:rsidRDefault="00ED7F17">
            <w:pPr>
              <w:suppressAutoHyphens w:val="0"/>
              <w:autoSpaceDE w:val="0"/>
              <w:snapToGrid w:val="0"/>
              <w:jc w:val="center"/>
              <w:rPr>
                <w:rFonts w:ascii="Calibri" w:hAnsi="Calibri" w:cs="Calibri"/>
                <w:color w:val="000000"/>
                <w:sz w:val="20"/>
                <w:szCs w:val="20"/>
                <w:lang w:eastAsia="ru-RU"/>
              </w:rPr>
            </w:pPr>
          </w:p>
        </w:tc>
        <w:tc>
          <w:tcPr>
            <w:tcW w:w="1435" w:type="dxa"/>
            <w:gridSpan w:val="2"/>
            <w:tcBorders>
              <w:top w:val="single" w:sz="4" w:space="0" w:color="000000"/>
              <w:left w:val="single" w:sz="4" w:space="0" w:color="000000"/>
              <w:bottom w:val="single" w:sz="4" w:space="0" w:color="000000"/>
              <w:right w:val="single" w:sz="4" w:space="0" w:color="000000"/>
            </w:tcBorders>
          </w:tcPr>
          <w:p w:rsidR="00ED7F17" w:rsidRDefault="00ED7F17">
            <w:pPr>
              <w:suppressAutoHyphens w:val="0"/>
              <w:autoSpaceDE w:val="0"/>
              <w:snapToGrid w:val="0"/>
              <w:jc w:val="center"/>
              <w:rPr>
                <w:rFonts w:ascii="Calibri" w:hAnsi="Calibri" w:cs="Calibri"/>
                <w:color w:val="000000"/>
                <w:sz w:val="20"/>
                <w:szCs w:val="20"/>
                <w:lang w:eastAsia="ru-RU"/>
              </w:rPr>
            </w:pPr>
          </w:p>
        </w:tc>
      </w:tr>
      <w:tr w:rsidR="00ED7F17" w:rsidTr="00ED7F17">
        <w:trPr>
          <w:trHeight w:val="211"/>
        </w:trPr>
        <w:tc>
          <w:tcPr>
            <w:tcW w:w="1644"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rPr>
                <w:rFonts w:ascii="Arial" w:eastAsia="Arial" w:hAnsi="Arial" w:cs="Arial"/>
                <w:sz w:val="22"/>
                <w:szCs w:val="22"/>
              </w:rPr>
            </w:pPr>
            <w:r>
              <w:rPr>
                <w:color w:val="000000"/>
                <w:sz w:val="20"/>
                <w:szCs w:val="20"/>
                <w:lang w:eastAsia="ru-RU"/>
              </w:rPr>
              <w:t>Врачи - специалисты:</w:t>
            </w:r>
          </w:p>
        </w:tc>
        <w:tc>
          <w:tcPr>
            <w:tcW w:w="1111" w:type="dxa"/>
            <w:tcBorders>
              <w:top w:val="single" w:sz="4" w:space="0" w:color="000000"/>
              <w:left w:val="single" w:sz="4" w:space="0" w:color="000000"/>
              <w:bottom w:val="single" w:sz="4" w:space="0" w:color="000000"/>
              <w:right w:val="nil"/>
            </w:tcBorders>
          </w:tcPr>
          <w:p w:rsidR="00ED7F17" w:rsidRDefault="00ED7F17">
            <w:pPr>
              <w:suppressAutoHyphens w:val="0"/>
              <w:autoSpaceDE w:val="0"/>
              <w:snapToGrid w:val="0"/>
              <w:jc w:val="right"/>
              <w:rPr>
                <w:rFonts w:ascii="Calibri" w:hAnsi="Calibri" w:cs="Calibri"/>
                <w:color w:val="000000"/>
                <w:sz w:val="20"/>
                <w:szCs w:val="20"/>
                <w:lang w:eastAsia="ru-RU"/>
              </w:rPr>
            </w:pPr>
          </w:p>
        </w:tc>
        <w:tc>
          <w:tcPr>
            <w:tcW w:w="1206" w:type="dxa"/>
            <w:tcBorders>
              <w:top w:val="single" w:sz="4" w:space="0" w:color="000000"/>
              <w:left w:val="single" w:sz="4" w:space="0" w:color="000000"/>
              <w:bottom w:val="single" w:sz="4" w:space="0" w:color="000000"/>
              <w:right w:val="nil"/>
            </w:tcBorders>
          </w:tcPr>
          <w:p w:rsidR="00ED7F17" w:rsidRDefault="00ED7F17">
            <w:pPr>
              <w:suppressAutoHyphens w:val="0"/>
              <w:autoSpaceDE w:val="0"/>
              <w:snapToGrid w:val="0"/>
              <w:jc w:val="center"/>
              <w:rPr>
                <w:rFonts w:ascii="Calibri" w:hAnsi="Calibri" w:cs="Calibri"/>
                <w:color w:val="000000"/>
                <w:sz w:val="20"/>
                <w:szCs w:val="20"/>
                <w:lang w:eastAsia="ru-RU"/>
              </w:rPr>
            </w:pPr>
          </w:p>
        </w:tc>
        <w:tc>
          <w:tcPr>
            <w:tcW w:w="1488" w:type="dxa"/>
            <w:tcBorders>
              <w:top w:val="single" w:sz="4" w:space="0" w:color="000000"/>
              <w:left w:val="single" w:sz="4" w:space="0" w:color="000000"/>
              <w:bottom w:val="single" w:sz="4" w:space="0" w:color="000000"/>
              <w:right w:val="nil"/>
            </w:tcBorders>
          </w:tcPr>
          <w:p w:rsidR="00ED7F17" w:rsidRDefault="00ED7F17">
            <w:pPr>
              <w:suppressAutoHyphens w:val="0"/>
              <w:autoSpaceDE w:val="0"/>
              <w:snapToGrid w:val="0"/>
              <w:jc w:val="center"/>
              <w:rPr>
                <w:rFonts w:ascii="Calibri" w:hAnsi="Calibri" w:cs="Calibri"/>
                <w:color w:val="000000"/>
                <w:sz w:val="20"/>
                <w:szCs w:val="20"/>
                <w:lang w:eastAsia="ru-RU"/>
              </w:rPr>
            </w:pPr>
          </w:p>
        </w:tc>
        <w:tc>
          <w:tcPr>
            <w:tcW w:w="1488" w:type="dxa"/>
            <w:tcBorders>
              <w:top w:val="single" w:sz="4" w:space="0" w:color="000000"/>
              <w:left w:val="single" w:sz="4" w:space="0" w:color="000000"/>
              <w:bottom w:val="single" w:sz="4" w:space="0" w:color="000000"/>
              <w:right w:val="nil"/>
            </w:tcBorders>
          </w:tcPr>
          <w:p w:rsidR="00ED7F17" w:rsidRDefault="00ED7F17">
            <w:pPr>
              <w:suppressAutoHyphens w:val="0"/>
              <w:autoSpaceDE w:val="0"/>
              <w:snapToGrid w:val="0"/>
              <w:jc w:val="center"/>
              <w:rPr>
                <w:rFonts w:ascii="Calibri" w:hAnsi="Calibri" w:cs="Calibri"/>
                <w:color w:val="000000"/>
                <w:sz w:val="20"/>
                <w:szCs w:val="20"/>
                <w:lang w:eastAsia="ru-RU"/>
              </w:rPr>
            </w:pPr>
          </w:p>
        </w:tc>
        <w:tc>
          <w:tcPr>
            <w:tcW w:w="583" w:type="dxa"/>
            <w:tcBorders>
              <w:top w:val="single" w:sz="4" w:space="0" w:color="000000"/>
              <w:left w:val="single" w:sz="4" w:space="0" w:color="000000"/>
              <w:bottom w:val="single" w:sz="4" w:space="0" w:color="000000"/>
              <w:right w:val="nil"/>
            </w:tcBorders>
          </w:tcPr>
          <w:p w:rsidR="00ED7F17" w:rsidRDefault="00ED7F17">
            <w:pPr>
              <w:suppressAutoHyphens w:val="0"/>
              <w:autoSpaceDE w:val="0"/>
              <w:snapToGrid w:val="0"/>
              <w:jc w:val="center"/>
              <w:rPr>
                <w:rFonts w:ascii="Calibri" w:hAnsi="Calibri" w:cs="Calibri"/>
                <w:color w:val="000000"/>
                <w:sz w:val="20"/>
                <w:szCs w:val="20"/>
                <w:lang w:eastAsia="ru-RU"/>
              </w:rPr>
            </w:pPr>
          </w:p>
        </w:tc>
        <w:tc>
          <w:tcPr>
            <w:tcW w:w="1405" w:type="dxa"/>
            <w:tcBorders>
              <w:top w:val="single" w:sz="4" w:space="0" w:color="000000"/>
              <w:left w:val="single" w:sz="4" w:space="0" w:color="000000"/>
              <w:bottom w:val="single" w:sz="4" w:space="0" w:color="000000"/>
              <w:right w:val="nil"/>
            </w:tcBorders>
          </w:tcPr>
          <w:p w:rsidR="00ED7F17" w:rsidRDefault="00ED7F17">
            <w:pPr>
              <w:suppressAutoHyphens w:val="0"/>
              <w:autoSpaceDE w:val="0"/>
              <w:snapToGrid w:val="0"/>
              <w:jc w:val="center"/>
              <w:rPr>
                <w:rFonts w:ascii="Calibri" w:hAnsi="Calibri" w:cs="Calibri"/>
                <w:color w:val="000000"/>
                <w:sz w:val="20"/>
                <w:szCs w:val="20"/>
                <w:lang w:eastAsia="ru-RU"/>
              </w:rPr>
            </w:pPr>
          </w:p>
        </w:tc>
        <w:tc>
          <w:tcPr>
            <w:tcW w:w="1435" w:type="dxa"/>
            <w:gridSpan w:val="2"/>
            <w:tcBorders>
              <w:top w:val="single" w:sz="4" w:space="0" w:color="000000"/>
              <w:left w:val="single" w:sz="4" w:space="0" w:color="000000"/>
              <w:bottom w:val="single" w:sz="4" w:space="0" w:color="000000"/>
              <w:right w:val="single" w:sz="4" w:space="0" w:color="000000"/>
            </w:tcBorders>
          </w:tcPr>
          <w:p w:rsidR="00ED7F17" w:rsidRDefault="00ED7F17">
            <w:pPr>
              <w:suppressAutoHyphens w:val="0"/>
              <w:autoSpaceDE w:val="0"/>
              <w:snapToGrid w:val="0"/>
              <w:jc w:val="center"/>
              <w:rPr>
                <w:rFonts w:ascii="Calibri" w:hAnsi="Calibri" w:cs="Calibri"/>
                <w:color w:val="000000"/>
                <w:sz w:val="20"/>
                <w:szCs w:val="20"/>
                <w:lang w:eastAsia="ru-RU"/>
              </w:rPr>
            </w:pPr>
          </w:p>
        </w:tc>
      </w:tr>
      <w:tr w:rsidR="00ED7F17" w:rsidTr="00ED7F17">
        <w:trPr>
          <w:trHeight w:val="188"/>
        </w:trPr>
        <w:tc>
          <w:tcPr>
            <w:tcW w:w="1644"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rPr>
                <w:rFonts w:ascii="Arial" w:eastAsia="Arial" w:hAnsi="Arial" w:cs="Arial"/>
                <w:sz w:val="22"/>
                <w:szCs w:val="22"/>
              </w:rPr>
            </w:pPr>
            <w:r>
              <w:rPr>
                <w:color w:val="000000"/>
                <w:sz w:val="20"/>
                <w:szCs w:val="20"/>
                <w:lang w:eastAsia="ru-RU"/>
              </w:rPr>
              <w:t>врач-анестезиолог-реаниматолог</w:t>
            </w:r>
          </w:p>
        </w:tc>
        <w:tc>
          <w:tcPr>
            <w:tcW w:w="1111"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1</w:t>
            </w:r>
          </w:p>
        </w:tc>
        <w:tc>
          <w:tcPr>
            <w:tcW w:w="1206" w:type="dxa"/>
            <w:tcBorders>
              <w:top w:val="single" w:sz="4" w:space="0" w:color="000000"/>
              <w:left w:val="single" w:sz="4" w:space="0" w:color="000000"/>
              <w:bottom w:val="single" w:sz="4" w:space="0" w:color="000000"/>
              <w:right w:val="nil"/>
            </w:tcBorders>
          </w:tcPr>
          <w:p w:rsidR="00ED7F17" w:rsidRDefault="00ED7F17">
            <w:pPr>
              <w:suppressAutoHyphens w:val="0"/>
              <w:autoSpaceDE w:val="0"/>
              <w:snapToGrid w:val="0"/>
              <w:jc w:val="center"/>
              <w:rPr>
                <w:rFonts w:ascii="Calibri" w:hAnsi="Calibri" w:cs="Calibri"/>
                <w:color w:val="000000"/>
                <w:sz w:val="20"/>
                <w:szCs w:val="20"/>
                <w:lang w:eastAsia="ru-RU"/>
              </w:rPr>
            </w:pPr>
          </w:p>
        </w:tc>
        <w:tc>
          <w:tcPr>
            <w:tcW w:w="1488" w:type="dxa"/>
            <w:tcBorders>
              <w:top w:val="single" w:sz="4" w:space="0" w:color="000000"/>
              <w:left w:val="single" w:sz="4" w:space="0" w:color="000000"/>
              <w:bottom w:val="single" w:sz="4" w:space="0" w:color="000000"/>
              <w:right w:val="nil"/>
            </w:tcBorders>
          </w:tcPr>
          <w:p w:rsidR="00ED7F17" w:rsidRDefault="00ED7F17">
            <w:pPr>
              <w:suppressAutoHyphens w:val="0"/>
              <w:autoSpaceDE w:val="0"/>
              <w:snapToGrid w:val="0"/>
              <w:jc w:val="center"/>
              <w:rPr>
                <w:rFonts w:ascii="Calibri" w:hAnsi="Calibri" w:cs="Calibri"/>
                <w:color w:val="000000"/>
                <w:sz w:val="20"/>
                <w:szCs w:val="20"/>
                <w:lang w:eastAsia="ru-RU"/>
              </w:rPr>
            </w:pPr>
          </w:p>
        </w:tc>
        <w:tc>
          <w:tcPr>
            <w:tcW w:w="1488"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1</w:t>
            </w:r>
          </w:p>
        </w:tc>
        <w:tc>
          <w:tcPr>
            <w:tcW w:w="583"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1</w:t>
            </w:r>
          </w:p>
        </w:tc>
        <w:tc>
          <w:tcPr>
            <w:tcW w:w="1405"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1</w:t>
            </w:r>
          </w:p>
        </w:tc>
        <w:tc>
          <w:tcPr>
            <w:tcW w:w="1435" w:type="dxa"/>
            <w:gridSpan w:val="2"/>
            <w:tcBorders>
              <w:top w:val="single" w:sz="4" w:space="0" w:color="000000"/>
              <w:left w:val="single" w:sz="4" w:space="0" w:color="000000"/>
              <w:bottom w:val="single" w:sz="4" w:space="0" w:color="000000"/>
              <w:right w:val="single" w:sz="4" w:space="0" w:color="000000"/>
            </w:tcBorders>
          </w:tcPr>
          <w:p w:rsidR="00ED7F17" w:rsidRDefault="00ED7F17">
            <w:pPr>
              <w:suppressAutoHyphens w:val="0"/>
              <w:autoSpaceDE w:val="0"/>
              <w:snapToGrid w:val="0"/>
              <w:jc w:val="center"/>
              <w:rPr>
                <w:rFonts w:ascii="Calibri" w:hAnsi="Calibri" w:cs="Calibri"/>
                <w:color w:val="000000"/>
                <w:sz w:val="20"/>
                <w:szCs w:val="20"/>
                <w:lang w:eastAsia="ru-RU"/>
              </w:rPr>
            </w:pPr>
          </w:p>
        </w:tc>
      </w:tr>
      <w:tr w:rsidR="00ED7F17" w:rsidTr="00ED7F17">
        <w:trPr>
          <w:trHeight w:val="210"/>
        </w:trPr>
        <w:tc>
          <w:tcPr>
            <w:tcW w:w="1644"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rPr>
                <w:rFonts w:ascii="Arial" w:eastAsia="Arial" w:hAnsi="Arial" w:cs="Arial"/>
                <w:sz w:val="22"/>
                <w:szCs w:val="22"/>
              </w:rPr>
            </w:pPr>
            <w:r>
              <w:rPr>
                <w:color w:val="000000"/>
                <w:sz w:val="20"/>
                <w:szCs w:val="20"/>
                <w:lang w:eastAsia="ru-RU"/>
              </w:rPr>
              <w:t>врач функциональной диагностики</w:t>
            </w:r>
          </w:p>
        </w:tc>
        <w:tc>
          <w:tcPr>
            <w:tcW w:w="1111"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1</w:t>
            </w:r>
          </w:p>
        </w:tc>
        <w:tc>
          <w:tcPr>
            <w:tcW w:w="1206" w:type="dxa"/>
            <w:tcBorders>
              <w:top w:val="single" w:sz="4" w:space="0" w:color="000000"/>
              <w:left w:val="single" w:sz="4" w:space="0" w:color="000000"/>
              <w:bottom w:val="single" w:sz="4" w:space="0" w:color="000000"/>
              <w:right w:val="nil"/>
            </w:tcBorders>
          </w:tcPr>
          <w:p w:rsidR="00ED7F17" w:rsidRDefault="00ED7F17">
            <w:pPr>
              <w:suppressAutoHyphens w:val="0"/>
              <w:autoSpaceDE w:val="0"/>
              <w:snapToGrid w:val="0"/>
              <w:jc w:val="center"/>
              <w:rPr>
                <w:rFonts w:ascii="Calibri" w:hAnsi="Calibri" w:cs="Calibri"/>
                <w:color w:val="000000"/>
                <w:sz w:val="20"/>
                <w:szCs w:val="20"/>
                <w:lang w:eastAsia="ru-RU"/>
              </w:rPr>
            </w:pPr>
          </w:p>
        </w:tc>
        <w:tc>
          <w:tcPr>
            <w:tcW w:w="1488" w:type="dxa"/>
            <w:tcBorders>
              <w:top w:val="single" w:sz="4" w:space="0" w:color="000000"/>
              <w:left w:val="single" w:sz="4" w:space="0" w:color="000000"/>
              <w:bottom w:val="single" w:sz="4" w:space="0" w:color="000000"/>
              <w:right w:val="nil"/>
            </w:tcBorders>
          </w:tcPr>
          <w:p w:rsidR="00ED7F17" w:rsidRDefault="00ED7F17">
            <w:pPr>
              <w:suppressAutoHyphens w:val="0"/>
              <w:autoSpaceDE w:val="0"/>
              <w:snapToGrid w:val="0"/>
              <w:jc w:val="center"/>
              <w:rPr>
                <w:rFonts w:ascii="Calibri" w:hAnsi="Calibri" w:cs="Calibri"/>
                <w:color w:val="000000"/>
                <w:sz w:val="20"/>
                <w:szCs w:val="20"/>
                <w:lang w:eastAsia="ru-RU"/>
              </w:rPr>
            </w:pPr>
          </w:p>
        </w:tc>
        <w:tc>
          <w:tcPr>
            <w:tcW w:w="1488"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1</w:t>
            </w:r>
          </w:p>
        </w:tc>
        <w:tc>
          <w:tcPr>
            <w:tcW w:w="583"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1</w:t>
            </w:r>
          </w:p>
        </w:tc>
        <w:tc>
          <w:tcPr>
            <w:tcW w:w="1405"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1</w:t>
            </w:r>
          </w:p>
        </w:tc>
        <w:tc>
          <w:tcPr>
            <w:tcW w:w="1435" w:type="dxa"/>
            <w:gridSpan w:val="2"/>
            <w:tcBorders>
              <w:top w:val="single" w:sz="4" w:space="0" w:color="000000"/>
              <w:left w:val="single" w:sz="4" w:space="0" w:color="000000"/>
              <w:bottom w:val="single" w:sz="4" w:space="0" w:color="000000"/>
              <w:right w:val="single" w:sz="4" w:space="0" w:color="000000"/>
            </w:tcBorders>
          </w:tcPr>
          <w:p w:rsidR="00ED7F17" w:rsidRDefault="00ED7F17">
            <w:pPr>
              <w:suppressAutoHyphens w:val="0"/>
              <w:autoSpaceDE w:val="0"/>
              <w:snapToGrid w:val="0"/>
              <w:jc w:val="center"/>
              <w:rPr>
                <w:rFonts w:ascii="Calibri" w:hAnsi="Calibri" w:cs="Calibri"/>
                <w:color w:val="000000"/>
                <w:sz w:val="20"/>
                <w:szCs w:val="20"/>
                <w:lang w:eastAsia="ru-RU"/>
              </w:rPr>
            </w:pPr>
          </w:p>
        </w:tc>
      </w:tr>
      <w:tr w:rsidR="00ED7F17" w:rsidTr="00ED7F17">
        <w:trPr>
          <w:trHeight w:val="219"/>
        </w:trPr>
        <w:tc>
          <w:tcPr>
            <w:tcW w:w="1644"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rPr>
                <w:rFonts w:ascii="Arial" w:eastAsia="Arial" w:hAnsi="Arial" w:cs="Arial"/>
                <w:sz w:val="22"/>
                <w:szCs w:val="22"/>
              </w:rPr>
            </w:pPr>
            <w:r>
              <w:rPr>
                <w:color w:val="000000"/>
                <w:sz w:val="20"/>
                <w:szCs w:val="20"/>
                <w:lang w:eastAsia="ru-RU"/>
              </w:rPr>
              <w:t>врач ультразвуковой диагностики</w:t>
            </w:r>
          </w:p>
        </w:tc>
        <w:tc>
          <w:tcPr>
            <w:tcW w:w="1111"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1</w:t>
            </w:r>
          </w:p>
        </w:tc>
        <w:tc>
          <w:tcPr>
            <w:tcW w:w="1206" w:type="dxa"/>
            <w:tcBorders>
              <w:top w:val="single" w:sz="4" w:space="0" w:color="000000"/>
              <w:left w:val="single" w:sz="4" w:space="0" w:color="000000"/>
              <w:bottom w:val="single" w:sz="4" w:space="0" w:color="000000"/>
              <w:right w:val="nil"/>
            </w:tcBorders>
          </w:tcPr>
          <w:p w:rsidR="00ED7F17" w:rsidRDefault="00ED7F17">
            <w:pPr>
              <w:suppressAutoHyphens w:val="0"/>
              <w:autoSpaceDE w:val="0"/>
              <w:snapToGrid w:val="0"/>
              <w:jc w:val="center"/>
              <w:rPr>
                <w:rFonts w:ascii="Calibri" w:hAnsi="Calibri" w:cs="Calibri"/>
                <w:color w:val="000000"/>
                <w:sz w:val="20"/>
                <w:szCs w:val="20"/>
                <w:lang w:eastAsia="ru-RU"/>
              </w:rPr>
            </w:pPr>
          </w:p>
        </w:tc>
        <w:tc>
          <w:tcPr>
            <w:tcW w:w="1488" w:type="dxa"/>
            <w:tcBorders>
              <w:top w:val="single" w:sz="4" w:space="0" w:color="000000"/>
              <w:left w:val="single" w:sz="4" w:space="0" w:color="000000"/>
              <w:bottom w:val="single" w:sz="4" w:space="0" w:color="000000"/>
              <w:right w:val="nil"/>
            </w:tcBorders>
          </w:tcPr>
          <w:p w:rsidR="00ED7F17" w:rsidRDefault="00ED7F17">
            <w:pPr>
              <w:suppressAutoHyphens w:val="0"/>
              <w:autoSpaceDE w:val="0"/>
              <w:snapToGrid w:val="0"/>
              <w:jc w:val="center"/>
              <w:rPr>
                <w:rFonts w:ascii="Calibri" w:hAnsi="Calibri" w:cs="Calibri"/>
                <w:color w:val="000000"/>
                <w:sz w:val="20"/>
                <w:szCs w:val="20"/>
                <w:lang w:eastAsia="ru-RU"/>
              </w:rPr>
            </w:pPr>
          </w:p>
        </w:tc>
        <w:tc>
          <w:tcPr>
            <w:tcW w:w="1488"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1</w:t>
            </w:r>
          </w:p>
        </w:tc>
        <w:tc>
          <w:tcPr>
            <w:tcW w:w="583"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1</w:t>
            </w:r>
          </w:p>
        </w:tc>
        <w:tc>
          <w:tcPr>
            <w:tcW w:w="1405"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1</w:t>
            </w:r>
          </w:p>
        </w:tc>
        <w:tc>
          <w:tcPr>
            <w:tcW w:w="1435" w:type="dxa"/>
            <w:gridSpan w:val="2"/>
            <w:tcBorders>
              <w:top w:val="single" w:sz="4" w:space="0" w:color="000000"/>
              <w:left w:val="single" w:sz="4" w:space="0" w:color="000000"/>
              <w:bottom w:val="single" w:sz="4" w:space="0" w:color="000000"/>
              <w:right w:val="single" w:sz="4" w:space="0" w:color="000000"/>
            </w:tcBorders>
          </w:tcPr>
          <w:p w:rsidR="00ED7F17" w:rsidRDefault="00ED7F17">
            <w:pPr>
              <w:suppressAutoHyphens w:val="0"/>
              <w:autoSpaceDE w:val="0"/>
              <w:snapToGrid w:val="0"/>
              <w:jc w:val="center"/>
              <w:rPr>
                <w:rFonts w:ascii="Calibri" w:hAnsi="Calibri" w:cs="Calibri"/>
                <w:color w:val="000000"/>
                <w:sz w:val="20"/>
                <w:szCs w:val="20"/>
                <w:lang w:eastAsia="ru-RU"/>
              </w:rPr>
            </w:pPr>
          </w:p>
        </w:tc>
      </w:tr>
      <w:tr w:rsidR="00ED7F17" w:rsidTr="00ED7F17">
        <w:trPr>
          <w:trHeight w:val="117"/>
        </w:trPr>
        <w:tc>
          <w:tcPr>
            <w:tcW w:w="1644"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rPr>
                <w:rFonts w:ascii="Arial" w:eastAsia="Arial" w:hAnsi="Arial" w:cs="Arial"/>
                <w:sz w:val="22"/>
                <w:szCs w:val="22"/>
              </w:rPr>
            </w:pPr>
            <w:r>
              <w:rPr>
                <w:color w:val="000000"/>
                <w:sz w:val="20"/>
                <w:szCs w:val="20"/>
                <w:lang w:eastAsia="ru-RU"/>
              </w:rPr>
              <w:t>врач-невролог</w:t>
            </w:r>
          </w:p>
        </w:tc>
        <w:tc>
          <w:tcPr>
            <w:tcW w:w="1111"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6,5</w:t>
            </w:r>
          </w:p>
        </w:tc>
        <w:tc>
          <w:tcPr>
            <w:tcW w:w="1206"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3</w:t>
            </w:r>
          </w:p>
        </w:tc>
        <w:tc>
          <w:tcPr>
            <w:tcW w:w="1488" w:type="dxa"/>
            <w:tcBorders>
              <w:top w:val="single" w:sz="4" w:space="0" w:color="000000"/>
              <w:left w:val="single" w:sz="4" w:space="0" w:color="000000"/>
              <w:bottom w:val="single" w:sz="4" w:space="0" w:color="000000"/>
              <w:right w:val="nil"/>
            </w:tcBorders>
          </w:tcPr>
          <w:p w:rsidR="00ED7F17" w:rsidRDefault="00ED7F17">
            <w:pPr>
              <w:suppressAutoHyphens w:val="0"/>
              <w:autoSpaceDE w:val="0"/>
              <w:snapToGrid w:val="0"/>
              <w:jc w:val="center"/>
              <w:rPr>
                <w:rFonts w:ascii="Calibri" w:hAnsi="Calibri" w:cs="Calibri"/>
                <w:color w:val="000000"/>
                <w:sz w:val="20"/>
                <w:szCs w:val="20"/>
                <w:lang w:eastAsia="ru-RU"/>
              </w:rPr>
            </w:pPr>
          </w:p>
        </w:tc>
        <w:tc>
          <w:tcPr>
            <w:tcW w:w="1488"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3,5</w:t>
            </w:r>
          </w:p>
        </w:tc>
        <w:tc>
          <w:tcPr>
            <w:tcW w:w="583"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4</w:t>
            </w:r>
          </w:p>
        </w:tc>
        <w:tc>
          <w:tcPr>
            <w:tcW w:w="1405"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1</w:t>
            </w:r>
          </w:p>
        </w:tc>
        <w:tc>
          <w:tcPr>
            <w:tcW w:w="1435" w:type="dxa"/>
            <w:gridSpan w:val="2"/>
            <w:tcBorders>
              <w:top w:val="single" w:sz="4" w:space="0" w:color="000000"/>
              <w:left w:val="single" w:sz="4" w:space="0" w:color="000000"/>
              <w:bottom w:val="single" w:sz="4" w:space="0" w:color="000000"/>
              <w:right w:val="single" w:sz="4" w:space="0" w:color="000000"/>
            </w:tcBorders>
          </w:tcPr>
          <w:p w:rsidR="00ED7F17" w:rsidRDefault="00ED7F17">
            <w:pPr>
              <w:suppressAutoHyphens w:val="0"/>
              <w:autoSpaceDE w:val="0"/>
              <w:snapToGrid w:val="0"/>
              <w:jc w:val="center"/>
              <w:rPr>
                <w:rFonts w:ascii="Calibri" w:hAnsi="Calibri" w:cs="Calibri"/>
                <w:color w:val="000000"/>
                <w:sz w:val="20"/>
                <w:szCs w:val="20"/>
                <w:lang w:eastAsia="ru-RU"/>
              </w:rPr>
            </w:pPr>
          </w:p>
        </w:tc>
      </w:tr>
      <w:tr w:rsidR="00ED7F17" w:rsidTr="00ED7F17">
        <w:trPr>
          <w:trHeight w:val="250"/>
        </w:trPr>
        <w:tc>
          <w:tcPr>
            <w:tcW w:w="1644"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rPr>
                <w:rFonts w:ascii="Arial" w:eastAsia="Arial" w:hAnsi="Arial" w:cs="Arial"/>
                <w:sz w:val="22"/>
                <w:szCs w:val="22"/>
              </w:rPr>
            </w:pPr>
            <w:r>
              <w:rPr>
                <w:color w:val="000000"/>
                <w:sz w:val="20"/>
                <w:szCs w:val="20"/>
                <w:lang w:eastAsia="ru-RU"/>
              </w:rPr>
              <w:t>врач-физиотерапевт</w:t>
            </w:r>
          </w:p>
        </w:tc>
        <w:tc>
          <w:tcPr>
            <w:tcW w:w="1111"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1</w:t>
            </w:r>
          </w:p>
        </w:tc>
        <w:tc>
          <w:tcPr>
            <w:tcW w:w="1206" w:type="dxa"/>
            <w:tcBorders>
              <w:top w:val="single" w:sz="4" w:space="0" w:color="000000"/>
              <w:left w:val="single" w:sz="4" w:space="0" w:color="000000"/>
              <w:bottom w:val="single" w:sz="4" w:space="0" w:color="000000"/>
              <w:right w:val="nil"/>
            </w:tcBorders>
          </w:tcPr>
          <w:p w:rsidR="00ED7F17" w:rsidRDefault="00ED7F17">
            <w:pPr>
              <w:suppressAutoHyphens w:val="0"/>
              <w:autoSpaceDE w:val="0"/>
              <w:snapToGrid w:val="0"/>
              <w:jc w:val="center"/>
              <w:rPr>
                <w:rFonts w:ascii="Calibri" w:hAnsi="Calibri" w:cs="Calibri"/>
                <w:color w:val="000000"/>
                <w:sz w:val="20"/>
                <w:szCs w:val="20"/>
                <w:lang w:eastAsia="ru-RU"/>
              </w:rPr>
            </w:pPr>
          </w:p>
        </w:tc>
        <w:tc>
          <w:tcPr>
            <w:tcW w:w="1488" w:type="dxa"/>
            <w:tcBorders>
              <w:top w:val="single" w:sz="4" w:space="0" w:color="000000"/>
              <w:left w:val="single" w:sz="4" w:space="0" w:color="000000"/>
              <w:bottom w:val="single" w:sz="4" w:space="0" w:color="000000"/>
              <w:right w:val="nil"/>
            </w:tcBorders>
          </w:tcPr>
          <w:p w:rsidR="00ED7F17" w:rsidRDefault="00ED7F17">
            <w:pPr>
              <w:suppressAutoHyphens w:val="0"/>
              <w:autoSpaceDE w:val="0"/>
              <w:snapToGrid w:val="0"/>
              <w:jc w:val="center"/>
              <w:rPr>
                <w:rFonts w:ascii="Calibri" w:hAnsi="Calibri" w:cs="Calibri"/>
                <w:color w:val="000000"/>
                <w:sz w:val="20"/>
                <w:szCs w:val="20"/>
                <w:lang w:eastAsia="ru-RU"/>
              </w:rPr>
            </w:pPr>
          </w:p>
        </w:tc>
        <w:tc>
          <w:tcPr>
            <w:tcW w:w="1488"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1</w:t>
            </w:r>
          </w:p>
        </w:tc>
        <w:tc>
          <w:tcPr>
            <w:tcW w:w="583"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1</w:t>
            </w:r>
          </w:p>
        </w:tc>
        <w:tc>
          <w:tcPr>
            <w:tcW w:w="1405"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1</w:t>
            </w:r>
          </w:p>
        </w:tc>
        <w:tc>
          <w:tcPr>
            <w:tcW w:w="1435" w:type="dxa"/>
            <w:gridSpan w:val="2"/>
            <w:tcBorders>
              <w:top w:val="single" w:sz="4" w:space="0" w:color="000000"/>
              <w:left w:val="single" w:sz="4" w:space="0" w:color="000000"/>
              <w:bottom w:val="single" w:sz="4" w:space="0" w:color="000000"/>
              <w:right w:val="single" w:sz="4" w:space="0" w:color="000000"/>
            </w:tcBorders>
          </w:tcPr>
          <w:p w:rsidR="00ED7F17" w:rsidRDefault="00ED7F17">
            <w:pPr>
              <w:suppressAutoHyphens w:val="0"/>
              <w:autoSpaceDE w:val="0"/>
              <w:snapToGrid w:val="0"/>
              <w:jc w:val="center"/>
              <w:rPr>
                <w:rFonts w:ascii="Calibri" w:hAnsi="Calibri" w:cs="Calibri"/>
                <w:color w:val="000000"/>
                <w:sz w:val="20"/>
                <w:szCs w:val="20"/>
                <w:lang w:eastAsia="ru-RU"/>
              </w:rPr>
            </w:pPr>
          </w:p>
        </w:tc>
      </w:tr>
      <w:tr w:rsidR="00ED7F17" w:rsidTr="00ED7F17">
        <w:trPr>
          <w:trHeight w:val="226"/>
        </w:trPr>
        <w:tc>
          <w:tcPr>
            <w:tcW w:w="1644"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rPr>
                <w:rFonts w:ascii="Arial" w:eastAsia="Arial" w:hAnsi="Arial" w:cs="Arial"/>
                <w:sz w:val="22"/>
                <w:szCs w:val="22"/>
              </w:rPr>
            </w:pPr>
            <w:r>
              <w:rPr>
                <w:color w:val="000000"/>
                <w:sz w:val="20"/>
                <w:szCs w:val="20"/>
                <w:lang w:eastAsia="ru-RU"/>
              </w:rPr>
              <w:t>врач-рефлексотерапевт</w:t>
            </w:r>
          </w:p>
        </w:tc>
        <w:tc>
          <w:tcPr>
            <w:tcW w:w="1111"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0,25</w:t>
            </w:r>
          </w:p>
        </w:tc>
        <w:tc>
          <w:tcPr>
            <w:tcW w:w="1206" w:type="dxa"/>
            <w:tcBorders>
              <w:top w:val="single" w:sz="4" w:space="0" w:color="000000"/>
              <w:left w:val="single" w:sz="4" w:space="0" w:color="000000"/>
              <w:bottom w:val="single" w:sz="4" w:space="0" w:color="000000"/>
              <w:right w:val="nil"/>
            </w:tcBorders>
          </w:tcPr>
          <w:p w:rsidR="00ED7F17" w:rsidRDefault="00ED7F17">
            <w:pPr>
              <w:suppressAutoHyphens w:val="0"/>
              <w:autoSpaceDE w:val="0"/>
              <w:snapToGrid w:val="0"/>
              <w:jc w:val="center"/>
              <w:rPr>
                <w:rFonts w:ascii="Calibri" w:hAnsi="Calibri" w:cs="Calibri"/>
                <w:color w:val="000000"/>
                <w:sz w:val="20"/>
                <w:szCs w:val="20"/>
                <w:lang w:eastAsia="ru-RU"/>
              </w:rPr>
            </w:pPr>
          </w:p>
        </w:tc>
        <w:tc>
          <w:tcPr>
            <w:tcW w:w="1488" w:type="dxa"/>
            <w:tcBorders>
              <w:top w:val="single" w:sz="4" w:space="0" w:color="000000"/>
              <w:left w:val="single" w:sz="4" w:space="0" w:color="000000"/>
              <w:bottom w:val="single" w:sz="4" w:space="0" w:color="000000"/>
              <w:right w:val="nil"/>
            </w:tcBorders>
          </w:tcPr>
          <w:p w:rsidR="00ED7F17" w:rsidRDefault="00ED7F17">
            <w:pPr>
              <w:suppressAutoHyphens w:val="0"/>
              <w:autoSpaceDE w:val="0"/>
              <w:snapToGrid w:val="0"/>
              <w:jc w:val="center"/>
              <w:rPr>
                <w:rFonts w:ascii="Calibri" w:hAnsi="Calibri" w:cs="Calibri"/>
                <w:color w:val="000000"/>
                <w:sz w:val="20"/>
                <w:szCs w:val="20"/>
                <w:lang w:eastAsia="ru-RU"/>
              </w:rPr>
            </w:pPr>
          </w:p>
        </w:tc>
        <w:tc>
          <w:tcPr>
            <w:tcW w:w="1488"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0,25</w:t>
            </w:r>
          </w:p>
        </w:tc>
        <w:tc>
          <w:tcPr>
            <w:tcW w:w="583"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1</w:t>
            </w:r>
          </w:p>
        </w:tc>
        <w:tc>
          <w:tcPr>
            <w:tcW w:w="1405"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1</w:t>
            </w:r>
          </w:p>
        </w:tc>
        <w:tc>
          <w:tcPr>
            <w:tcW w:w="1435" w:type="dxa"/>
            <w:gridSpan w:val="2"/>
            <w:tcBorders>
              <w:top w:val="single" w:sz="4" w:space="0" w:color="000000"/>
              <w:left w:val="single" w:sz="4" w:space="0" w:color="000000"/>
              <w:bottom w:val="single" w:sz="4" w:space="0" w:color="000000"/>
              <w:right w:val="single" w:sz="4" w:space="0" w:color="000000"/>
            </w:tcBorders>
          </w:tcPr>
          <w:p w:rsidR="00ED7F17" w:rsidRDefault="00ED7F17">
            <w:pPr>
              <w:suppressAutoHyphens w:val="0"/>
              <w:autoSpaceDE w:val="0"/>
              <w:snapToGrid w:val="0"/>
              <w:jc w:val="center"/>
              <w:rPr>
                <w:rFonts w:ascii="Calibri" w:hAnsi="Calibri" w:cs="Calibri"/>
                <w:color w:val="000000"/>
                <w:sz w:val="20"/>
                <w:szCs w:val="20"/>
                <w:lang w:eastAsia="ru-RU"/>
              </w:rPr>
            </w:pPr>
          </w:p>
        </w:tc>
      </w:tr>
      <w:tr w:rsidR="00ED7F17" w:rsidTr="00ED7F17">
        <w:trPr>
          <w:trHeight w:val="305"/>
        </w:trPr>
        <w:tc>
          <w:tcPr>
            <w:tcW w:w="1644"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rPr>
                <w:rFonts w:ascii="Arial" w:eastAsia="Arial" w:hAnsi="Arial" w:cs="Arial"/>
                <w:sz w:val="22"/>
                <w:szCs w:val="22"/>
              </w:rPr>
            </w:pPr>
            <w:r>
              <w:rPr>
                <w:color w:val="000000"/>
                <w:sz w:val="20"/>
                <w:szCs w:val="20"/>
                <w:lang w:eastAsia="ru-RU"/>
              </w:rPr>
              <w:t>врач-психотерапевт</w:t>
            </w:r>
          </w:p>
        </w:tc>
        <w:tc>
          <w:tcPr>
            <w:tcW w:w="1111"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0,25</w:t>
            </w:r>
          </w:p>
        </w:tc>
        <w:tc>
          <w:tcPr>
            <w:tcW w:w="1206" w:type="dxa"/>
            <w:tcBorders>
              <w:top w:val="single" w:sz="4" w:space="0" w:color="000000"/>
              <w:left w:val="single" w:sz="4" w:space="0" w:color="000000"/>
              <w:bottom w:val="single" w:sz="4" w:space="0" w:color="000000"/>
              <w:right w:val="nil"/>
            </w:tcBorders>
          </w:tcPr>
          <w:p w:rsidR="00ED7F17" w:rsidRDefault="00ED7F17">
            <w:pPr>
              <w:suppressAutoHyphens w:val="0"/>
              <w:autoSpaceDE w:val="0"/>
              <w:snapToGrid w:val="0"/>
              <w:jc w:val="center"/>
              <w:rPr>
                <w:rFonts w:ascii="Calibri" w:hAnsi="Calibri" w:cs="Calibri"/>
                <w:color w:val="000000"/>
                <w:sz w:val="20"/>
                <w:szCs w:val="20"/>
                <w:lang w:eastAsia="ru-RU"/>
              </w:rPr>
            </w:pPr>
          </w:p>
        </w:tc>
        <w:tc>
          <w:tcPr>
            <w:tcW w:w="1488" w:type="dxa"/>
            <w:tcBorders>
              <w:top w:val="single" w:sz="4" w:space="0" w:color="000000"/>
              <w:left w:val="single" w:sz="4" w:space="0" w:color="000000"/>
              <w:bottom w:val="single" w:sz="4" w:space="0" w:color="000000"/>
              <w:right w:val="nil"/>
            </w:tcBorders>
          </w:tcPr>
          <w:p w:rsidR="00ED7F17" w:rsidRDefault="00ED7F17">
            <w:pPr>
              <w:suppressAutoHyphens w:val="0"/>
              <w:autoSpaceDE w:val="0"/>
              <w:snapToGrid w:val="0"/>
              <w:jc w:val="center"/>
              <w:rPr>
                <w:rFonts w:ascii="Calibri" w:hAnsi="Calibri" w:cs="Calibri"/>
                <w:color w:val="000000"/>
                <w:sz w:val="20"/>
                <w:szCs w:val="20"/>
                <w:lang w:eastAsia="ru-RU"/>
              </w:rPr>
            </w:pPr>
          </w:p>
        </w:tc>
        <w:tc>
          <w:tcPr>
            <w:tcW w:w="1488" w:type="dxa"/>
            <w:tcBorders>
              <w:top w:val="single" w:sz="4" w:space="0" w:color="000000"/>
              <w:left w:val="single" w:sz="4" w:space="0" w:color="000000"/>
              <w:bottom w:val="single" w:sz="4" w:space="0" w:color="000000"/>
              <w:right w:val="nil"/>
            </w:tcBorders>
          </w:tcPr>
          <w:p w:rsidR="00ED7F17" w:rsidRDefault="00ED7F17">
            <w:pPr>
              <w:suppressAutoHyphens w:val="0"/>
              <w:autoSpaceDE w:val="0"/>
              <w:snapToGrid w:val="0"/>
              <w:jc w:val="center"/>
              <w:rPr>
                <w:rFonts w:ascii="Calibri" w:hAnsi="Calibri" w:cs="Calibri"/>
                <w:color w:val="000000"/>
                <w:sz w:val="20"/>
                <w:szCs w:val="20"/>
                <w:lang w:eastAsia="ru-RU"/>
              </w:rPr>
            </w:pPr>
          </w:p>
        </w:tc>
        <w:tc>
          <w:tcPr>
            <w:tcW w:w="583" w:type="dxa"/>
            <w:tcBorders>
              <w:top w:val="single" w:sz="4" w:space="0" w:color="000000"/>
              <w:left w:val="single" w:sz="4" w:space="0" w:color="000000"/>
              <w:bottom w:val="single" w:sz="4" w:space="0" w:color="000000"/>
              <w:right w:val="nil"/>
            </w:tcBorders>
          </w:tcPr>
          <w:p w:rsidR="00ED7F17" w:rsidRDefault="00ED7F17">
            <w:pPr>
              <w:suppressAutoHyphens w:val="0"/>
              <w:autoSpaceDE w:val="0"/>
              <w:snapToGrid w:val="0"/>
              <w:jc w:val="center"/>
              <w:rPr>
                <w:rFonts w:ascii="Calibri" w:hAnsi="Calibri" w:cs="Calibri"/>
                <w:color w:val="000000"/>
                <w:sz w:val="20"/>
                <w:szCs w:val="20"/>
                <w:lang w:eastAsia="ru-RU"/>
              </w:rPr>
            </w:pPr>
          </w:p>
        </w:tc>
        <w:tc>
          <w:tcPr>
            <w:tcW w:w="1405" w:type="dxa"/>
            <w:tcBorders>
              <w:top w:val="single" w:sz="4" w:space="0" w:color="000000"/>
              <w:left w:val="single" w:sz="4" w:space="0" w:color="000000"/>
              <w:bottom w:val="single" w:sz="4" w:space="0" w:color="000000"/>
              <w:right w:val="nil"/>
            </w:tcBorders>
          </w:tcPr>
          <w:p w:rsidR="00ED7F17" w:rsidRDefault="00ED7F17">
            <w:pPr>
              <w:suppressAutoHyphens w:val="0"/>
              <w:autoSpaceDE w:val="0"/>
              <w:snapToGrid w:val="0"/>
              <w:jc w:val="center"/>
              <w:rPr>
                <w:rFonts w:ascii="Calibri" w:hAnsi="Calibri" w:cs="Calibri"/>
                <w:color w:val="000000"/>
                <w:sz w:val="20"/>
                <w:szCs w:val="20"/>
                <w:lang w:eastAsia="ru-RU"/>
              </w:rPr>
            </w:pPr>
          </w:p>
        </w:tc>
        <w:tc>
          <w:tcPr>
            <w:tcW w:w="1435" w:type="dxa"/>
            <w:gridSpan w:val="2"/>
            <w:tcBorders>
              <w:top w:val="single" w:sz="4" w:space="0" w:color="000000"/>
              <w:left w:val="single" w:sz="4" w:space="0" w:color="000000"/>
              <w:bottom w:val="single" w:sz="4" w:space="0" w:color="000000"/>
              <w:right w:val="single" w:sz="4" w:space="0" w:color="000000"/>
            </w:tcBorders>
          </w:tcPr>
          <w:p w:rsidR="00ED7F17" w:rsidRDefault="00ED7F17">
            <w:pPr>
              <w:suppressAutoHyphens w:val="0"/>
              <w:autoSpaceDE w:val="0"/>
              <w:snapToGrid w:val="0"/>
              <w:jc w:val="center"/>
              <w:rPr>
                <w:rFonts w:ascii="Calibri" w:hAnsi="Calibri" w:cs="Calibri"/>
                <w:color w:val="000000"/>
                <w:sz w:val="20"/>
                <w:szCs w:val="20"/>
                <w:lang w:eastAsia="ru-RU"/>
              </w:rPr>
            </w:pPr>
          </w:p>
        </w:tc>
      </w:tr>
      <w:tr w:rsidR="00ED7F17" w:rsidTr="00ED7F17">
        <w:trPr>
          <w:trHeight w:val="305"/>
        </w:trPr>
        <w:tc>
          <w:tcPr>
            <w:tcW w:w="1644"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rPr>
                <w:rFonts w:ascii="Arial" w:eastAsia="Arial" w:hAnsi="Arial" w:cs="Arial"/>
                <w:sz w:val="22"/>
                <w:szCs w:val="22"/>
              </w:rPr>
            </w:pPr>
            <w:r>
              <w:rPr>
                <w:color w:val="000000"/>
                <w:sz w:val="20"/>
                <w:szCs w:val="20"/>
                <w:lang w:eastAsia="ru-RU"/>
              </w:rPr>
              <w:t>врач-рентгенолог</w:t>
            </w:r>
          </w:p>
        </w:tc>
        <w:tc>
          <w:tcPr>
            <w:tcW w:w="1111"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1</w:t>
            </w:r>
          </w:p>
        </w:tc>
        <w:tc>
          <w:tcPr>
            <w:tcW w:w="1206" w:type="dxa"/>
            <w:tcBorders>
              <w:top w:val="single" w:sz="4" w:space="0" w:color="000000"/>
              <w:left w:val="single" w:sz="4" w:space="0" w:color="000000"/>
              <w:bottom w:val="single" w:sz="4" w:space="0" w:color="000000"/>
              <w:right w:val="nil"/>
            </w:tcBorders>
          </w:tcPr>
          <w:p w:rsidR="00ED7F17" w:rsidRDefault="00ED7F17">
            <w:pPr>
              <w:suppressAutoHyphens w:val="0"/>
              <w:autoSpaceDE w:val="0"/>
              <w:snapToGrid w:val="0"/>
              <w:jc w:val="center"/>
              <w:rPr>
                <w:rFonts w:ascii="Calibri" w:hAnsi="Calibri" w:cs="Calibri"/>
                <w:color w:val="000000"/>
                <w:sz w:val="20"/>
                <w:szCs w:val="20"/>
                <w:lang w:eastAsia="ru-RU"/>
              </w:rPr>
            </w:pPr>
          </w:p>
        </w:tc>
        <w:tc>
          <w:tcPr>
            <w:tcW w:w="1488"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1</w:t>
            </w:r>
          </w:p>
        </w:tc>
        <w:tc>
          <w:tcPr>
            <w:tcW w:w="1488" w:type="dxa"/>
            <w:tcBorders>
              <w:top w:val="single" w:sz="4" w:space="0" w:color="000000"/>
              <w:left w:val="single" w:sz="4" w:space="0" w:color="000000"/>
              <w:bottom w:val="single" w:sz="4" w:space="0" w:color="000000"/>
              <w:right w:val="nil"/>
            </w:tcBorders>
          </w:tcPr>
          <w:p w:rsidR="00ED7F17" w:rsidRDefault="00ED7F17">
            <w:pPr>
              <w:suppressAutoHyphens w:val="0"/>
              <w:autoSpaceDE w:val="0"/>
              <w:snapToGrid w:val="0"/>
              <w:jc w:val="center"/>
              <w:rPr>
                <w:rFonts w:ascii="Calibri" w:hAnsi="Calibri" w:cs="Calibri"/>
                <w:color w:val="000000"/>
                <w:sz w:val="20"/>
                <w:szCs w:val="20"/>
                <w:lang w:eastAsia="ru-RU"/>
              </w:rPr>
            </w:pPr>
          </w:p>
        </w:tc>
        <w:tc>
          <w:tcPr>
            <w:tcW w:w="583" w:type="dxa"/>
            <w:tcBorders>
              <w:top w:val="single" w:sz="4" w:space="0" w:color="000000"/>
              <w:left w:val="single" w:sz="4" w:space="0" w:color="000000"/>
              <w:bottom w:val="single" w:sz="4" w:space="0" w:color="000000"/>
              <w:right w:val="nil"/>
            </w:tcBorders>
          </w:tcPr>
          <w:p w:rsidR="00ED7F17" w:rsidRDefault="00ED7F17">
            <w:pPr>
              <w:suppressAutoHyphens w:val="0"/>
              <w:autoSpaceDE w:val="0"/>
              <w:snapToGrid w:val="0"/>
              <w:jc w:val="center"/>
              <w:rPr>
                <w:rFonts w:ascii="Calibri" w:hAnsi="Calibri" w:cs="Calibri"/>
                <w:color w:val="000000"/>
                <w:sz w:val="20"/>
                <w:szCs w:val="20"/>
                <w:lang w:eastAsia="ru-RU"/>
              </w:rPr>
            </w:pPr>
          </w:p>
        </w:tc>
        <w:tc>
          <w:tcPr>
            <w:tcW w:w="1405" w:type="dxa"/>
            <w:tcBorders>
              <w:top w:val="single" w:sz="4" w:space="0" w:color="000000"/>
              <w:left w:val="single" w:sz="4" w:space="0" w:color="000000"/>
              <w:bottom w:val="single" w:sz="4" w:space="0" w:color="000000"/>
              <w:right w:val="nil"/>
            </w:tcBorders>
          </w:tcPr>
          <w:p w:rsidR="00ED7F17" w:rsidRDefault="00ED7F17">
            <w:pPr>
              <w:suppressAutoHyphens w:val="0"/>
              <w:autoSpaceDE w:val="0"/>
              <w:snapToGrid w:val="0"/>
              <w:jc w:val="center"/>
              <w:rPr>
                <w:rFonts w:ascii="Calibri" w:hAnsi="Calibri" w:cs="Calibri"/>
                <w:color w:val="000000"/>
                <w:sz w:val="20"/>
                <w:szCs w:val="20"/>
                <w:lang w:eastAsia="ru-RU"/>
              </w:rPr>
            </w:pPr>
          </w:p>
        </w:tc>
        <w:tc>
          <w:tcPr>
            <w:tcW w:w="1435" w:type="dxa"/>
            <w:gridSpan w:val="2"/>
            <w:tcBorders>
              <w:top w:val="single" w:sz="4" w:space="0" w:color="000000"/>
              <w:left w:val="single" w:sz="4" w:space="0" w:color="000000"/>
              <w:bottom w:val="single" w:sz="4" w:space="0" w:color="000000"/>
              <w:right w:val="single" w:sz="4" w:space="0" w:color="000000"/>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1</w:t>
            </w:r>
          </w:p>
        </w:tc>
      </w:tr>
      <w:tr w:rsidR="00ED7F17" w:rsidTr="00ED7F17">
        <w:trPr>
          <w:trHeight w:val="305"/>
        </w:trPr>
        <w:tc>
          <w:tcPr>
            <w:tcW w:w="1644"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rPr>
                <w:rFonts w:ascii="Arial" w:eastAsia="Arial" w:hAnsi="Arial" w:cs="Arial"/>
                <w:sz w:val="22"/>
                <w:szCs w:val="22"/>
              </w:rPr>
            </w:pPr>
            <w:r>
              <w:rPr>
                <w:color w:val="000000"/>
                <w:sz w:val="20"/>
                <w:szCs w:val="20"/>
                <w:lang w:eastAsia="ru-RU"/>
              </w:rPr>
              <w:t>врач-клинической лабораторной диагностики</w:t>
            </w:r>
          </w:p>
        </w:tc>
        <w:tc>
          <w:tcPr>
            <w:tcW w:w="1111"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1</w:t>
            </w:r>
          </w:p>
        </w:tc>
        <w:tc>
          <w:tcPr>
            <w:tcW w:w="1206" w:type="dxa"/>
            <w:tcBorders>
              <w:top w:val="single" w:sz="4" w:space="0" w:color="000000"/>
              <w:left w:val="single" w:sz="4" w:space="0" w:color="000000"/>
              <w:bottom w:val="single" w:sz="4" w:space="0" w:color="000000"/>
              <w:right w:val="nil"/>
            </w:tcBorders>
          </w:tcPr>
          <w:p w:rsidR="00ED7F17" w:rsidRDefault="00ED7F17">
            <w:pPr>
              <w:suppressAutoHyphens w:val="0"/>
              <w:autoSpaceDE w:val="0"/>
              <w:snapToGrid w:val="0"/>
              <w:jc w:val="center"/>
              <w:rPr>
                <w:rFonts w:ascii="Calibri" w:hAnsi="Calibri" w:cs="Calibri"/>
                <w:color w:val="000000"/>
                <w:sz w:val="20"/>
                <w:szCs w:val="20"/>
                <w:lang w:eastAsia="ru-RU"/>
              </w:rPr>
            </w:pPr>
          </w:p>
        </w:tc>
        <w:tc>
          <w:tcPr>
            <w:tcW w:w="1488" w:type="dxa"/>
            <w:tcBorders>
              <w:top w:val="single" w:sz="4" w:space="0" w:color="000000"/>
              <w:left w:val="single" w:sz="4" w:space="0" w:color="000000"/>
              <w:bottom w:val="single" w:sz="4" w:space="0" w:color="000000"/>
              <w:right w:val="nil"/>
            </w:tcBorders>
          </w:tcPr>
          <w:p w:rsidR="00ED7F17" w:rsidRDefault="00ED7F17">
            <w:pPr>
              <w:suppressAutoHyphens w:val="0"/>
              <w:autoSpaceDE w:val="0"/>
              <w:snapToGrid w:val="0"/>
              <w:jc w:val="center"/>
              <w:rPr>
                <w:rFonts w:ascii="Calibri" w:hAnsi="Calibri" w:cs="Calibri"/>
                <w:color w:val="000000"/>
                <w:sz w:val="20"/>
                <w:szCs w:val="20"/>
                <w:lang w:eastAsia="ru-RU"/>
              </w:rPr>
            </w:pPr>
          </w:p>
        </w:tc>
        <w:tc>
          <w:tcPr>
            <w:tcW w:w="1488"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1</w:t>
            </w:r>
          </w:p>
        </w:tc>
        <w:tc>
          <w:tcPr>
            <w:tcW w:w="583"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1</w:t>
            </w:r>
          </w:p>
        </w:tc>
        <w:tc>
          <w:tcPr>
            <w:tcW w:w="1405"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1</w:t>
            </w:r>
          </w:p>
        </w:tc>
        <w:tc>
          <w:tcPr>
            <w:tcW w:w="1435" w:type="dxa"/>
            <w:gridSpan w:val="2"/>
            <w:tcBorders>
              <w:top w:val="single" w:sz="4" w:space="0" w:color="000000"/>
              <w:left w:val="single" w:sz="4" w:space="0" w:color="000000"/>
              <w:bottom w:val="single" w:sz="4" w:space="0" w:color="000000"/>
              <w:right w:val="single" w:sz="4" w:space="0" w:color="000000"/>
            </w:tcBorders>
          </w:tcPr>
          <w:p w:rsidR="00ED7F17" w:rsidRDefault="00ED7F17">
            <w:pPr>
              <w:suppressAutoHyphens w:val="0"/>
              <w:autoSpaceDE w:val="0"/>
              <w:snapToGrid w:val="0"/>
              <w:jc w:val="center"/>
              <w:rPr>
                <w:rFonts w:ascii="Calibri" w:hAnsi="Calibri" w:cs="Calibri"/>
                <w:color w:val="000000"/>
                <w:sz w:val="20"/>
                <w:szCs w:val="20"/>
                <w:lang w:eastAsia="ru-RU"/>
              </w:rPr>
            </w:pPr>
          </w:p>
        </w:tc>
      </w:tr>
      <w:tr w:rsidR="00ED7F17" w:rsidTr="00ED7F17">
        <w:trPr>
          <w:trHeight w:val="305"/>
        </w:trPr>
        <w:tc>
          <w:tcPr>
            <w:tcW w:w="1644"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rPr>
                <w:rFonts w:ascii="Arial" w:eastAsia="Arial" w:hAnsi="Arial" w:cs="Arial"/>
                <w:sz w:val="22"/>
                <w:szCs w:val="22"/>
              </w:rPr>
            </w:pPr>
            <w:r>
              <w:rPr>
                <w:b/>
                <w:bCs/>
                <w:color w:val="000000"/>
                <w:sz w:val="20"/>
                <w:szCs w:val="20"/>
                <w:lang w:eastAsia="ru-RU"/>
              </w:rPr>
              <w:t>Медицинские сестры всего,</w:t>
            </w:r>
          </w:p>
        </w:tc>
        <w:tc>
          <w:tcPr>
            <w:tcW w:w="1111"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b/>
                <w:bCs/>
                <w:color w:val="000000"/>
                <w:sz w:val="20"/>
                <w:szCs w:val="20"/>
                <w:lang w:eastAsia="ru-RU"/>
              </w:rPr>
              <w:t>12,75</w:t>
            </w:r>
          </w:p>
        </w:tc>
        <w:tc>
          <w:tcPr>
            <w:tcW w:w="1206"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b/>
                <w:bCs/>
                <w:color w:val="000000"/>
                <w:sz w:val="20"/>
                <w:szCs w:val="20"/>
                <w:lang w:eastAsia="ru-RU"/>
              </w:rPr>
              <w:t>11</w:t>
            </w:r>
          </w:p>
        </w:tc>
        <w:tc>
          <w:tcPr>
            <w:tcW w:w="1488"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b/>
                <w:bCs/>
                <w:color w:val="000000"/>
                <w:sz w:val="20"/>
                <w:szCs w:val="20"/>
                <w:lang w:eastAsia="ru-RU"/>
              </w:rPr>
              <w:t>0</w:t>
            </w:r>
          </w:p>
        </w:tc>
        <w:tc>
          <w:tcPr>
            <w:tcW w:w="1488"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b/>
                <w:bCs/>
                <w:color w:val="000000"/>
                <w:sz w:val="20"/>
                <w:szCs w:val="20"/>
                <w:lang w:eastAsia="ru-RU"/>
              </w:rPr>
              <w:t>1,75</w:t>
            </w:r>
          </w:p>
        </w:tc>
        <w:tc>
          <w:tcPr>
            <w:tcW w:w="583"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b/>
                <w:bCs/>
                <w:color w:val="000000"/>
                <w:sz w:val="20"/>
                <w:szCs w:val="20"/>
                <w:lang w:eastAsia="ru-RU"/>
              </w:rPr>
              <w:t>11</w:t>
            </w:r>
          </w:p>
        </w:tc>
        <w:tc>
          <w:tcPr>
            <w:tcW w:w="1405"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b/>
                <w:bCs/>
                <w:color w:val="000000"/>
                <w:sz w:val="20"/>
                <w:szCs w:val="20"/>
                <w:lang w:eastAsia="ru-RU"/>
              </w:rPr>
              <w:t>1</w:t>
            </w:r>
          </w:p>
        </w:tc>
        <w:tc>
          <w:tcPr>
            <w:tcW w:w="1435" w:type="dxa"/>
            <w:gridSpan w:val="2"/>
            <w:tcBorders>
              <w:top w:val="single" w:sz="4" w:space="0" w:color="000000"/>
              <w:left w:val="single" w:sz="4" w:space="0" w:color="000000"/>
              <w:bottom w:val="single" w:sz="4" w:space="0" w:color="000000"/>
              <w:right w:val="single" w:sz="4" w:space="0" w:color="000000"/>
            </w:tcBorders>
            <w:hideMark/>
          </w:tcPr>
          <w:p w:rsidR="00ED7F17" w:rsidRDefault="00ED7F17">
            <w:pPr>
              <w:suppressAutoHyphens w:val="0"/>
              <w:autoSpaceDE w:val="0"/>
              <w:jc w:val="center"/>
              <w:rPr>
                <w:rFonts w:ascii="Arial" w:eastAsia="Arial" w:hAnsi="Arial" w:cs="Arial"/>
                <w:sz w:val="22"/>
                <w:szCs w:val="22"/>
              </w:rPr>
            </w:pPr>
            <w:r>
              <w:rPr>
                <w:b/>
                <w:bCs/>
                <w:color w:val="000000"/>
                <w:sz w:val="20"/>
                <w:szCs w:val="20"/>
                <w:lang w:eastAsia="ru-RU"/>
              </w:rPr>
              <w:t>0</w:t>
            </w:r>
          </w:p>
        </w:tc>
      </w:tr>
      <w:tr w:rsidR="00ED7F17" w:rsidTr="00ED7F17">
        <w:trPr>
          <w:trHeight w:val="50"/>
        </w:trPr>
        <w:tc>
          <w:tcPr>
            <w:tcW w:w="1644"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rPr>
                <w:rFonts w:ascii="Arial" w:eastAsia="Arial" w:hAnsi="Arial" w:cs="Arial"/>
                <w:sz w:val="22"/>
                <w:szCs w:val="22"/>
              </w:rPr>
            </w:pPr>
            <w:r>
              <w:rPr>
                <w:color w:val="000000"/>
                <w:sz w:val="20"/>
                <w:szCs w:val="20"/>
                <w:lang w:eastAsia="ru-RU"/>
              </w:rPr>
              <w:t>в том числе: медицинская сестра палатная (постовая)</w:t>
            </w:r>
          </w:p>
        </w:tc>
        <w:tc>
          <w:tcPr>
            <w:tcW w:w="1111"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11,75</w:t>
            </w:r>
          </w:p>
        </w:tc>
        <w:tc>
          <w:tcPr>
            <w:tcW w:w="1206"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10</w:t>
            </w:r>
          </w:p>
        </w:tc>
        <w:tc>
          <w:tcPr>
            <w:tcW w:w="1488" w:type="dxa"/>
            <w:tcBorders>
              <w:top w:val="single" w:sz="4" w:space="0" w:color="000000"/>
              <w:left w:val="single" w:sz="4" w:space="0" w:color="000000"/>
              <w:bottom w:val="single" w:sz="4" w:space="0" w:color="000000"/>
              <w:right w:val="nil"/>
            </w:tcBorders>
          </w:tcPr>
          <w:p w:rsidR="00ED7F17" w:rsidRDefault="00ED7F17">
            <w:pPr>
              <w:suppressAutoHyphens w:val="0"/>
              <w:autoSpaceDE w:val="0"/>
              <w:snapToGrid w:val="0"/>
              <w:jc w:val="center"/>
              <w:rPr>
                <w:rFonts w:ascii="Calibri" w:hAnsi="Calibri" w:cs="Calibri"/>
                <w:color w:val="000000"/>
                <w:sz w:val="20"/>
                <w:szCs w:val="20"/>
                <w:lang w:eastAsia="ru-RU"/>
              </w:rPr>
            </w:pPr>
          </w:p>
        </w:tc>
        <w:tc>
          <w:tcPr>
            <w:tcW w:w="1488"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1,75</w:t>
            </w:r>
          </w:p>
        </w:tc>
        <w:tc>
          <w:tcPr>
            <w:tcW w:w="583"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10</w:t>
            </w:r>
          </w:p>
        </w:tc>
        <w:tc>
          <w:tcPr>
            <w:tcW w:w="1405"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1</w:t>
            </w:r>
          </w:p>
        </w:tc>
        <w:tc>
          <w:tcPr>
            <w:tcW w:w="1435" w:type="dxa"/>
            <w:gridSpan w:val="2"/>
            <w:tcBorders>
              <w:top w:val="single" w:sz="4" w:space="0" w:color="000000"/>
              <w:left w:val="single" w:sz="4" w:space="0" w:color="000000"/>
              <w:bottom w:val="single" w:sz="4" w:space="0" w:color="000000"/>
              <w:right w:val="single" w:sz="4" w:space="0" w:color="000000"/>
            </w:tcBorders>
          </w:tcPr>
          <w:p w:rsidR="00ED7F17" w:rsidRDefault="00ED7F17">
            <w:pPr>
              <w:suppressAutoHyphens w:val="0"/>
              <w:autoSpaceDE w:val="0"/>
              <w:snapToGrid w:val="0"/>
              <w:jc w:val="center"/>
              <w:rPr>
                <w:rFonts w:ascii="Calibri" w:hAnsi="Calibri" w:cs="Calibri"/>
                <w:color w:val="000000"/>
                <w:sz w:val="20"/>
                <w:szCs w:val="20"/>
                <w:lang w:eastAsia="ru-RU"/>
              </w:rPr>
            </w:pPr>
          </w:p>
        </w:tc>
      </w:tr>
      <w:tr w:rsidR="00ED7F17" w:rsidTr="00ED7F17">
        <w:trPr>
          <w:trHeight w:val="50"/>
        </w:trPr>
        <w:tc>
          <w:tcPr>
            <w:tcW w:w="1644"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rPr>
                <w:rFonts w:ascii="Arial" w:eastAsia="Arial" w:hAnsi="Arial" w:cs="Arial"/>
                <w:sz w:val="22"/>
                <w:szCs w:val="22"/>
              </w:rPr>
            </w:pPr>
            <w:r>
              <w:rPr>
                <w:color w:val="000000"/>
                <w:sz w:val="20"/>
                <w:szCs w:val="20"/>
                <w:lang w:eastAsia="ru-RU"/>
              </w:rPr>
              <w:t xml:space="preserve">медицинская сестра процедурной </w:t>
            </w:r>
          </w:p>
        </w:tc>
        <w:tc>
          <w:tcPr>
            <w:tcW w:w="1111"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1</w:t>
            </w:r>
          </w:p>
        </w:tc>
        <w:tc>
          <w:tcPr>
            <w:tcW w:w="1206"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1</w:t>
            </w:r>
          </w:p>
        </w:tc>
        <w:tc>
          <w:tcPr>
            <w:tcW w:w="1488" w:type="dxa"/>
            <w:tcBorders>
              <w:top w:val="single" w:sz="4" w:space="0" w:color="000000"/>
              <w:left w:val="single" w:sz="4" w:space="0" w:color="000000"/>
              <w:bottom w:val="single" w:sz="4" w:space="0" w:color="000000"/>
              <w:right w:val="nil"/>
            </w:tcBorders>
          </w:tcPr>
          <w:p w:rsidR="00ED7F17" w:rsidRDefault="00ED7F17">
            <w:pPr>
              <w:suppressAutoHyphens w:val="0"/>
              <w:autoSpaceDE w:val="0"/>
              <w:snapToGrid w:val="0"/>
              <w:jc w:val="center"/>
              <w:rPr>
                <w:rFonts w:ascii="Calibri" w:hAnsi="Calibri" w:cs="Calibri"/>
                <w:color w:val="000000"/>
                <w:sz w:val="20"/>
                <w:szCs w:val="20"/>
                <w:lang w:eastAsia="ru-RU"/>
              </w:rPr>
            </w:pPr>
          </w:p>
        </w:tc>
        <w:tc>
          <w:tcPr>
            <w:tcW w:w="1488" w:type="dxa"/>
            <w:tcBorders>
              <w:top w:val="single" w:sz="4" w:space="0" w:color="000000"/>
              <w:left w:val="single" w:sz="4" w:space="0" w:color="000000"/>
              <w:bottom w:val="single" w:sz="4" w:space="0" w:color="000000"/>
              <w:right w:val="nil"/>
            </w:tcBorders>
          </w:tcPr>
          <w:p w:rsidR="00ED7F17" w:rsidRDefault="00ED7F17">
            <w:pPr>
              <w:suppressAutoHyphens w:val="0"/>
              <w:autoSpaceDE w:val="0"/>
              <w:snapToGrid w:val="0"/>
              <w:jc w:val="center"/>
              <w:rPr>
                <w:rFonts w:ascii="Calibri" w:hAnsi="Calibri" w:cs="Calibri"/>
                <w:color w:val="000000"/>
                <w:sz w:val="20"/>
                <w:szCs w:val="20"/>
                <w:lang w:eastAsia="ru-RU"/>
              </w:rPr>
            </w:pPr>
          </w:p>
        </w:tc>
        <w:tc>
          <w:tcPr>
            <w:tcW w:w="583" w:type="dxa"/>
            <w:tcBorders>
              <w:top w:val="single" w:sz="4" w:space="0" w:color="000000"/>
              <w:left w:val="single" w:sz="4" w:space="0" w:color="000000"/>
              <w:bottom w:val="single" w:sz="4" w:space="0" w:color="000000"/>
              <w:right w:val="nil"/>
            </w:tcBorders>
            <w:hideMark/>
          </w:tcPr>
          <w:p w:rsidR="00ED7F17" w:rsidRDefault="00ED7F17">
            <w:pPr>
              <w:suppressAutoHyphens w:val="0"/>
              <w:autoSpaceDE w:val="0"/>
              <w:jc w:val="center"/>
              <w:rPr>
                <w:rFonts w:ascii="Arial" w:eastAsia="Arial" w:hAnsi="Arial" w:cs="Arial"/>
                <w:sz w:val="22"/>
                <w:szCs w:val="22"/>
              </w:rPr>
            </w:pPr>
            <w:r>
              <w:rPr>
                <w:color w:val="000000"/>
                <w:sz w:val="20"/>
                <w:szCs w:val="20"/>
                <w:lang w:eastAsia="ru-RU"/>
              </w:rPr>
              <w:t>1</w:t>
            </w:r>
          </w:p>
        </w:tc>
        <w:tc>
          <w:tcPr>
            <w:tcW w:w="1405" w:type="dxa"/>
            <w:tcBorders>
              <w:top w:val="single" w:sz="4" w:space="0" w:color="000000"/>
              <w:left w:val="single" w:sz="4" w:space="0" w:color="000000"/>
              <w:bottom w:val="single" w:sz="4" w:space="0" w:color="000000"/>
              <w:right w:val="nil"/>
            </w:tcBorders>
          </w:tcPr>
          <w:p w:rsidR="00ED7F17" w:rsidRDefault="00ED7F17">
            <w:pPr>
              <w:suppressAutoHyphens w:val="0"/>
              <w:autoSpaceDE w:val="0"/>
              <w:snapToGrid w:val="0"/>
              <w:jc w:val="center"/>
              <w:rPr>
                <w:rFonts w:ascii="Calibri" w:hAnsi="Calibri" w:cs="Calibri"/>
                <w:color w:val="000000"/>
                <w:sz w:val="20"/>
                <w:szCs w:val="20"/>
                <w:lang w:eastAsia="ru-RU"/>
              </w:rPr>
            </w:pPr>
          </w:p>
        </w:tc>
        <w:tc>
          <w:tcPr>
            <w:tcW w:w="1435" w:type="dxa"/>
            <w:gridSpan w:val="2"/>
            <w:tcBorders>
              <w:top w:val="single" w:sz="4" w:space="0" w:color="000000"/>
              <w:left w:val="single" w:sz="4" w:space="0" w:color="000000"/>
              <w:bottom w:val="single" w:sz="4" w:space="0" w:color="000000"/>
              <w:right w:val="single" w:sz="4" w:space="0" w:color="000000"/>
            </w:tcBorders>
          </w:tcPr>
          <w:p w:rsidR="00ED7F17" w:rsidRDefault="00ED7F17">
            <w:pPr>
              <w:suppressAutoHyphens w:val="0"/>
              <w:autoSpaceDE w:val="0"/>
              <w:snapToGrid w:val="0"/>
              <w:jc w:val="center"/>
              <w:rPr>
                <w:rFonts w:ascii="Calibri" w:hAnsi="Calibri" w:cs="Calibri"/>
                <w:color w:val="000000"/>
                <w:sz w:val="20"/>
                <w:szCs w:val="20"/>
                <w:lang w:eastAsia="ru-RU"/>
              </w:rPr>
            </w:pPr>
          </w:p>
        </w:tc>
      </w:tr>
    </w:tbl>
    <w:p w:rsidR="00ED7F17" w:rsidRDefault="00ED7F17" w:rsidP="00ED7F17">
      <w:pPr>
        <w:jc w:val="center"/>
        <w:rPr>
          <w:rFonts w:eastAsia="Arial"/>
          <w:b/>
          <w:bCs/>
          <w:sz w:val="20"/>
          <w:szCs w:val="20"/>
        </w:rPr>
      </w:pPr>
    </w:p>
    <w:p w:rsidR="00ED7F17" w:rsidRDefault="00ED7F17" w:rsidP="00ED7F17">
      <w:pPr>
        <w:jc w:val="center"/>
        <w:rPr>
          <w:b/>
          <w:bCs/>
          <w:sz w:val="20"/>
          <w:szCs w:val="20"/>
        </w:rPr>
      </w:pPr>
    </w:p>
    <w:p w:rsidR="00ED7F17" w:rsidRDefault="00ED7F17" w:rsidP="00ED7F17">
      <w:pPr>
        <w:jc w:val="center"/>
        <w:rPr>
          <w:b/>
          <w:bCs/>
          <w:sz w:val="20"/>
          <w:szCs w:val="20"/>
        </w:rPr>
      </w:pPr>
    </w:p>
    <w:p w:rsidR="00ED7F17" w:rsidRDefault="00ED7F17" w:rsidP="00ED7F17">
      <w:pPr>
        <w:jc w:val="center"/>
        <w:rPr>
          <w:rFonts w:ascii="Arial" w:hAnsi="Arial" w:cs="Arial"/>
          <w:sz w:val="22"/>
          <w:szCs w:val="22"/>
        </w:rPr>
      </w:pPr>
      <w:r>
        <w:rPr>
          <w:b/>
          <w:sz w:val="20"/>
          <w:szCs w:val="20"/>
        </w:rPr>
        <w:t>Информация по числу штатных должностей первичного сосудистого отделения ГБУЗ АО «ГКБ№3»</w:t>
      </w:r>
    </w:p>
    <w:p w:rsidR="00ED7F17" w:rsidRDefault="00ED7F17" w:rsidP="00ED7F17">
      <w:pPr>
        <w:ind w:left="720" w:firstLine="709"/>
        <w:jc w:val="center"/>
        <w:rPr>
          <w:b/>
          <w:bCs/>
          <w:highlight w:val="white"/>
        </w:rPr>
      </w:pPr>
    </w:p>
    <w:tbl>
      <w:tblPr>
        <w:tblW w:w="0" w:type="auto"/>
        <w:tblInd w:w="-15" w:type="dxa"/>
        <w:tblLayout w:type="fixed"/>
        <w:tblLook w:val="04A0" w:firstRow="1" w:lastRow="0" w:firstColumn="1" w:lastColumn="0" w:noHBand="0" w:noVBand="1"/>
      </w:tblPr>
      <w:tblGrid>
        <w:gridCol w:w="1628"/>
        <w:gridCol w:w="1167"/>
        <w:gridCol w:w="1253"/>
        <w:gridCol w:w="1503"/>
        <w:gridCol w:w="1422"/>
        <w:gridCol w:w="874"/>
        <w:gridCol w:w="1169"/>
        <w:gridCol w:w="1197"/>
      </w:tblGrid>
      <w:tr w:rsidR="00ED7F17" w:rsidTr="00ED7F17">
        <w:tc>
          <w:tcPr>
            <w:tcW w:w="1628" w:type="dxa"/>
            <w:vMerge w:val="restart"/>
            <w:tcBorders>
              <w:top w:val="single" w:sz="4" w:space="0" w:color="000000"/>
              <w:left w:val="single" w:sz="4" w:space="0" w:color="000000"/>
              <w:bottom w:val="single" w:sz="4" w:space="0" w:color="000000"/>
              <w:right w:val="nil"/>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Наименование должности</w:t>
            </w:r>
          </w:p>
        </w:tc>
        <w:tc>
          <w:tcPr>
            <w:tcW w:w="1167" w:type="dxa"/>
            <w:vMerge w:val="restart"/>
            <w:tcBorders>
              <w:top w:val="single" w:sz="4" w:space="0" w:color="000000"/>
              <w:left w:val="single" w:sz="4" w:space="0" w:color="000000"/>
              <w:bottom w:val="single" w:sz="4" w:space="0" w:color="000000"/>
              <w:right w:val="nil"/>
            </w:tcBorders>
            <w:vAlign w:val="bottom"/>
            <w:hideMark/>
          </w:tcPr>
          <w:p w:rsidR="00ED7F17" w:rsidRDefault="00ED7F17">
            <w:pPr>
              <w:suppressAutoHyphens w:val="0"/>
              <w:ind w:right="-194"/>
              <w:jc w:val="center"/>
              <w:rPr>
                <w:rFonts w:ascii="Arial" w:eastAsia="Arial" w:hAnsi="Arial" w:cs="Arial"/>
                <w:sz w:val="22"/>
                <w:szCs w:val="22"/>
              </w:rPr>
            </w:pPr>
            <w:r>
              <w:rPr>
                <w:color w:val="000000"/>
                <w:sz w:val="18"/>
                <w:szCs w:val="18"/>
                <w:lang w:eastAsia="ru-RU"/>
              </w:rPr>
              <w:t>Количество штатных должностей</w:t>
            </w:r>
          </w:p>
        </w:tc>
        <w:tc>
          <w:tcPr>
            <w:tcW w:w="4178" w:type="dxa"/>
            <w:gridSpan w:val="3"/>
            <w:tcBorders>
              <w:top w:val="single" w:sz="4" w:space="0" w:color="000000"/>
              <w:left w:val="single" w:sz="4" w:space="0" w:color="000000"/>
              <w:bottom w:val="single" w:sz="4" w:space="0" w:color="000000"/>
              <w:right w:val="nil"/>
            </w:tcBorders>
            <w:vAlign w:val="bottom"/>
            <w:hideMark/>
          </w:tcPr>
          <w:p w:rsidR="00ED7F17" w:rsidRDefault="00ED7F17">
            <w:pPr>
              <w:suppressAutoHyphens w:val="0"/>
              <w:ind w:right="-194"/>
              <w:jc w:val="center"/>
              <w:rPr>
                <w:rFonts w:ascii="Arial" w:eastAsia="Arial" w:hAnsi="Arial" w:cs="Arial"/>
                <w:sz w:val="22"/>
                <w:szCs w:val="22"/>
              </w:rPr>
            </w:pPr>
            <w:r>
              <w:rPr>
                <w:color w:val="000000"/>
                <w:sz w:val="18"/>
                <w:szCs w:val="18"/>
                <w:lang w:eastAsia="ru-RU"/>
              </w:rPr>
              <w:t>Количество занятых должностей</w:t>
            </w:r>
          </w:p>
        </w:tc>
        <w:tc>
          <w:tcPr>
            <w:tcW w:w="2043" w:type="dxa"/>
            <w:gridSpan w:val="2"/>
            <w:tcBorders>
              <w:top w:val="single" w:sz="4" w:space="0" w:color="000000"/>
              <w:left w:val="single" w:sz="4" w:space="0" w:color="000000"/>
              <w:bottom w:val="single" w:sz="4" w:space="0" w:color="000000"/>
              <w:right w:val="nil"/>
            </w:tcBorders>
            <w:vAlign w:val="center"/>
            <w:hideMark/>
          </w:tcPr>
          <w:p w:rsidR="00ED7F17" w:rsidRDefault="00ED7F17">
            <w:pPr>
              <w:suppressAutoHyphens w:val="0"/>
              <w:ind w:right="-194"/>
              <w:jc w:val="center"/>
              <w:rPr>
                <w:rFonts w:ascii="Arial" w:eastAsia="Arial" w:hAnsi="Arial" w:cs="Arial"/>
                <w:sz w:val="22"/>
                <w:szCs w:val="22"/>
              </w:rPr>
            </w:pPr>
            <w:r>
              <w:rPr>
                <w:color w:val="000000"/>
                <w:sz w:val="18"/>
                <w:szCs w:val="18"/>
                <w:lang w:eastAsia="ru-RU"/>
              </w:rPr>
              <w:t>Количество</w:t>
            </w:r>
          </w:p>
          <w:p w:rsidR="00ED7F17" w:rsidRDefault="00ED7F17">
            <w:pPr>
              <w:suppressAutoHyphens w:val="0"/>
              <w:ind w:right="-194"/>
              <w:jc w:val="center"/>
              <w:rPr>
                <w:rFonts w:ascii="Arial" w:eastAsia="Arial" w:hAnsi="Arial" w:cs="Arial"/>
                <w:sz w:val="22"/>
                <w:szCs w:val="22"/>
              </w:rPr>
            </w:pPr>
            <w:r>
              <w:rPr>
                <w:color w:val="000000"/>
                <w:sz w:val="18"/>
                <w:szCs w:val="18"/>
                <w:lang w:eastAsia="ru-RU"/>
              </w:rPr>
              <w:t>физических лиц, чел.</w:t>
            </w:r>
          </w:p>
        </w:tc>
        <w:tc>
          <w:tcPr>
            <w:tcW w:w="1197" w:type="dxa"/>
            <w:vMerge w:val="restart"/>
            <w:tcBorders>
              <w:top w:val="single" w:sz="4" w:space="0" w:color="000000"/>
              <w:left w:val="single" w:sz="4" w:space="0" w:color="000000"/>
              <w:bottom w:val="single" w:sz="4" w:space="0" w:color="000000"/>
              <w:right w:val="single" w:sz="4" w:space="0" w:color="000000"/>
            </w:tcBorders>
            <w:hideMark/>
          </w:tcPr>
          <w:p w:rsidR="00ED7F17" w:rsidRDefault="00ED7F17">
            <w:pPr>
              <w:spacing w:line="252" w:lineRule="auto"/>
              <w:ind w:right="-194"/>
              <w:jc w:val="center"/>
              <w:rPr>
                <w:rFonts w:ascii="Arial" w:eastAsia="Arial" w:hAnsi="Arial" w:cs="Arial"/>
                <w:sz w:val="22"/>
                <w:szCs w:val="22"/>
              </w:rPr>
            </w:pPr>
            <w:r>
              <w:rPr>
                <w:rFonts w:eastAsia="Lucida Sans Unicode"/>
                <w:color w:val="auto"/>
                <w:kern w:val="2"/>
                <w:sz w:val="18"/>
                <w:szCs w:val="18"/>
                <w:lang w:eastAsia="ar-SA"/>
              </w:rPr>
              <w:t xml:space="preserve">Кроме того, </w:t>
            </w:r>
            <w:r>
              <w:rPr>
                <w:color w:val="000000"/>
                <w:sz w:val="18"/>
                <w:szCs w:val="18"/>
                <w:lang w:eastAsia="ru-RU"/>
              </w:rPr>
              <w:t>Кроме того, количество внешних совместителей (чел.)</w:t>
            </w:r>
          </w:p>
        </w:tc>
      </w:tr>
      <w:tr w:rsidR="00ED7F17" w:rsidTr="00ED7F17">
        <w:tc>
          <w:tcPr>
            <w:tcW w:w="1628" w:type="dxa"/>
            <w:vMerge/>
            <w:tcBorders>
              <w:top w:val="single" w:sz="4" w:space="0" w:color="000000"/>
              <w:left w:val="single" w:sz="4"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1167" w:type="dxa"/>
            <w:vMerge/>
            <w:tcBorders>
              <w:top w:val="single" w:sz="4" w:space="0" w:color="000000"/>
              <w:left w:val="single" w:sz="4" w:space="0" w:color="000000"/>
              <w:bottom w:val="single" w:sz="4" w:space="0" w:color="000000"/>
              <w:right w:val="nil"/>
            </w:tcBorders>
            <w:vAlign w:val="center"/>
            <w:hideMark/>
          </w:tcPr>
          <w:p w:rsidR="00ED7F17" w:rsidRDefault="00ED7F17">
            <w:pPr>
              <w:suppressAutoHyphens w:val="0"/>
              <w:rPr>
                <w:rFonts w:ascii="Arial" w:eastAsia="Arial" w:hAnsi="Arial" w:cs="Arial"/>
                <w:sz w:val="22"/>
                <w:szCs w:val="22"/>
              </w:rPr>
            </w:pPr>
          </w:p>
        </w:tc>
        <w:tc>
          <w:tcPr>
            <w:tcW w:w="1253" w:type="dxa"/>
            <w:tcBorders>
              <w:top w:val="single" w:sz="4" w:space="0" w:color="000000"/>
              <w:left w:val="single" w:sz="4" w:space="0" w:color="000000"/>
              <w:bottom w:val="single" w:sz="4" w:space="0" w:color="000000"/>
              <w:right w:val="nil"/>
            </w:tcBorders>
            <w:vAlign w:val="bottom"/>
            <w:hideMark/>
          </w:tcPr>
          <w:p w:rsidR="00ED7F17" w:rsidRDefault="00ED7F17">
            <w:pPr>
              <w:spacing w:line="252" w:lineRule="auto"/>
              <w:jc w:val="center"/>
              <w:rPr>
                <w:rFonts w:ascii="Arial" w:eastAsia="Arial" w:hAnsi="Arial" w:cs="Arial"/>
                <w:sz w:val="22"/>
                <w:szCs w:val="22"/>
              </w:rPr>
            </w:pPr>
            <w:r>
              <w:rPr>
                <w:color w:val="000000"/>
                <w:sz w:val="18"/>
                <w:szCs w:val="18"/>
                <w:lang w:eastAsia="ru-RU"/>
              </w:rPr>
              <w:t>Основными работниками</w:t>
            </w:r>
          </w:p>
        </w:tc>
        <w:tc>
          <w:tcPr>
            <w:tcW w:w="1503" w:type="dxa"/>
            <w:tcBorders>
              <w:top w:val="single" w:sz="4" w:space="0" w:color="000000"/>
              <w:left w:val="single" w:sz="4" w:space="0" w:color="000000"/>
              <w:bottom w:val="single" w:sz="4" w:space="0" w:color="000000"/>
              <w:right w:val="nil"/>
            </w:tcBorders>
            <w:vAlign w:val="bottom"/>
            <w:hideMark/>
          </w:tcPr>
          <w:p w:rsidR="00ED7F17" w:rsidRDefault="00ED7F17">
            <w:pPr>
              <w:spacing w:line="252" w:lineRule="auto"/>
              <w:jc w:val="center"/>
              <w:rPr>
                <w:rFonts w:ascii="Arial" w:eastAsia="Arial" w:hAnsi="Arial" w:cs="Arial"/>
                <w:sz w:val="22"/>
                <w:szCs w:val="22"/>
              </w:rPr>
            </w:pPr>
            <w:r>
              <w:rPr>
                <w:color w:val="000000"/>
                <w:sz w:val="18"/>
                <w:szCs w:val="18"/>
                <w:lang w:eastAsia="ru-RU"/>
              </w:rPr>
              <w:t>Внешними совместителями</w:t>
            </w:r>
          </w:p>
        </w:tc>
        <w:tc>
          <w:tcPr>
            <w:tcW w:w="1422" w:type="dxa"/>
            <w:tcBorders>
              <w:top w:val="single" w:sz="4" w:space="0" w:color="000000"/>
              <w:left w:val="single" w:sz="4" w:space="0" w:color="000000"/>
              <w:bottom w:val="single" w:sz="4" w:space="0" w:color="000000"/>
              <w:right w:val="nil"/>
            </w:tcBorders>
            <w:vAlign w:val="bottom"/>
            <w:hideMark/>
          </w:tcPr>
          <w:p w:rsidR="00ED7F17" w:rsidRDefault="00ED7F17">
            <w:pPr>
              <w:spacing w:line="252" w:lineRule="auto"/>
              <w:jc w:val="center"/>
              <w:rPr>
                <w:rFonts w:ascii="Arial" w:eastAsia="Arial" w:hAnsi="Arial" w:cs="Arial"/>
                <w:sz w:val="22"/>
                <w:szCs w:val="22"/>
              </w:rPr>
            </w:pPr>
            <w:r>
              <w:rPr>
                <w:color w:val="000000"/>
                <w:sz w:val="18"/>
                <w:szCs w:val="18"/>
                <w:lang w:eastAsia="ru-RU"/>
              </w:rPr>
              <w:t>Внутрениими совместителями</w:t>
            </w:r>
          </w:p>
        </w:tc>
        <w:tc>
          <w:tcPr>
            <w:tcW w:w="874" w:type="dxa"/>
            <w:tcBorders>
              <w:top w:val="single" w:sz="4" w:space="0" w:color="000000"/>
              <w:left w:val="single" w:sz="4" w:space="0" w:color="000000"/>
              <w:bottom w:val="single" w:sz="4" w:space="0" w:color="000000"/>
              <w:right w:val="nil"/>
            </w:tcBorders>
            <w:vAlign w:val="center"/>
            <w:hideMark/>
          </w:tcPr>
          <w:p w:rsidR="00ED7F17" w:rsidRDefault="00ED7F17">
            <w:pPr>
              <w:spacing w:line="252" w:lineRule="auto"/>
              <w:jc w:val="center"/>
              <w:rPr>
                <w:rFonts w:ascii="Arial" w:eastAsia="Arial" w:hAnsi="Arial" w:cs="Arial"/>
                <w:sz w:val="22"/>
                <w:szCs w:val="22"/>
              </w:rPr>
            </w:pPr>
            <w:r>
              <w:rPr>
                <w:color w:val="000000"/>
                <w:sz w:val="18"/>
                <w:szCs w:val="18"/>
                <w:lang w:eastAsia="ru-RU"/>
              </w:rPr>
              <w:t>Всего (чел.)</w:t>
            </w:r>
          </w:p>
        </w:tc>
        <w:tc>
          <w:tcPr>
            <w:tcW w:w="1169" w:type="dxa"/>
            <w:tcBorders>
              <w:top w:val="single" w:sz="4" w:space="0" w:color="000000"/>
              <w:left w:val="single" w:sz="4" w:space="0" w:color="000000"/>
              <w:bottom w:val="single" w:sz="4" w:space="0" w:color="000000"/>
              <w:right w:val="nil"/>
            </w:tcBorders>
            <w:vAlign w:val="center"/>
            <w:hideMark/>
          </w:tcPr>
          <w:p w:rsidR="00ED7F17" w:rsidRDefault="00ED7F17">
            <w:pPr>
              <w:spacing w:line="252" w:lineRule="auto"/>
              <w:jc w:val="center"/>
              <w:rPr>
                <w:rFonts w:ascii="Arial" w:eastAsia="Arial" w:hAnsi="Arial" w:cs="Arial"/>
                <w:sz w:val="22"/>
                <w:szCs w:val="22"/>
              </w:rPr>
            </w:pPr>
            <w:r>
              <w:rPr>
                <w:color w:val="000000"/>
                <w:sz w:val="18"/>
                <w:szCs w:val="18"/>
                <w:lang w:eastAsia="ru-RU"/>
              </w:rPr>
              <w:t>в том числе внутренних совместиттелей (чел.)</w:t>
            </w:r>
          </w:p>
        </w:tc>
        <w:tc>
          <w:tcPr>
            <w:tcW w:w="1197" w:type="dxa"/>
            <w:vMerge/>
            <w:tcBorders>
              <w:top w:val="single" w:sz="4" w:space="0" w:color="000000"/>
              <w:left w:val="single" w:sz="4" w:space="0" w:color="000000"/>
              <w:bottom w:val="single" w:sz="4" w:space="0" w:color="000000"/>
              <w:right w:val="single" w:sz="4" w:space="0" w:color="000000"/>
            </w:tcBorders>
            <w:vAlign w:val="center"/>
            <w:hideMark/>
          </w:tcPr>
          <w:p w:rsidR="00ED7F17" w:rsidRDefault="00ED7F17">
            <w:pPr>
              <w:suppressAutoHyphens w:val="0"/>
              <w:rPr>
                <w:rFonts w:ascii="Arial" w:eastAsia="Arial" w:hAnsi="Arial" w:cs="Arial"/>
                <w:sz w:val="22"/>
                <w:szCs w:val="22"/>
              </w:rPr>
            </w:pPr>
          </w:p>
        </w:tc>
      </w:tr>
      <w:tr w:rsidR="00ED7F17" w:rsidTr="00ED7F17">
        <w:tc>
          <w:tcPr>
            <w:tcW w:w="1628" w:type="dxa"/>
            <w:tcBorders>
              <w:top w:val="single" w:sz="4" w:space="0" w:color="000000"/>
              <w:left w:val="single" w:sz="4" w:space="0" w:color="000000"/>
              <w:bottom w:val="single" w:sz="4" w:space="0" w:color="000000"/>
              <w:right w:val="nil"/>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Врачи-специалисты всего</w:t>
            </w:r>
          </w:p>
        </w:tc>
        <w:tc>
          <w:tcPr>
            <w:tcW w:w="1167" w:type="dxa"/>
            <w:tcBorders>
              <w:top w:val="single" w:sz="4" w:space="0" w:color="000000"/>
              <w:left w:val="single" w:sz="4" w:space="0" w:color="000000"/>
              <w:bottom w:val="single" w:sz="4" w:space="0" w:color="000000"/>
              <w:right w:val="nil"/>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31,5</w:t>
            </w:r>
          </w:p>
        </w:tc>
        <w:tc>
          <w:tcPr>
            <w:tcW w:w="1253" w:type="dxa"/>
            <w:tcBorders>
              <w:top w:val="single" w:sz="4" w:space="0" w:color="000000"/>
              <w:left w:val="single" w:sz="4" w:space="0" w:color="000000"/>
              <w:bottom w:val="single" w:sz="4" w:space="0" w:color="000000"/>
              <w:right w:val="nil"/>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31</w:t>
            </w:r>
          </w:p>
        </w:tc>
        <w:tc>
          <w:tcPr>
            <w:tcW w:w="1503" w:type="dxa"/>
            <w:tcBorders>
              <w:top w:val="single" w:sz="4" w:space="0" w:color="000000"/>
              <w:left w:val="single" w:sz="4" w:space="0" w:color="000000"/>
              <w:bottom w:val="single" w:sz="4" w:space="0" w:color="000000"/>
              <w:right w:val="nil"/>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0,5</w:t>
            </w:r>
          </w:p>
        </w:tc>
        <w:tc>
          <w:tcPr>
            <w:tcW w:w="1422"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874" w:type="dxa"/>
            <w:tcBorders>
              <w:top w:val="single" w:sz="4" w:space="0" w:color="000000"/>
              <w:left w:val="single" w:sz="4" w:space="0" w:color="000000"/>
              <w:bottom w:val="single" w:sz="4" w:space="0" w:color="000000"/>
              <w:right w:val="nil"/>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32</w:t>
            </w:r>
          </w:p>
        </w:tc>
        <w:tc>
          <w:tcPr>
            <w:tcW w:w="1169"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197" w:type="dxa"/>
            <w:tcBorders>
              <w:top w:val="single" w:sz="4" w:space="0" w:color="000000"/>
              <w:left w:val="single" w:sz="4" w:space="0" w:color="000000"/>
              <w:bottom w:val="single" w:sz="4" w:space="0" w:color="000000"/>
              <w:right w:val="single" w:sz="4" w:space="0" w:color="000000"/>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1</w:t>
            </w:r>
          </w:p>
        </w:tc>
      </w:tr>
      <w:tr w:rsidR="00ED7F17" w:rsidTr="00ED7F17">
        <w:tc>
          <w:tcPr>
            <w:tcW w:w="1628" w:type="dxa"/>
            <w:tcBorders>
              <w:top w:val="single" w:sz="4" w:space="0" w:color="000000"/>
              <w:left w:val="single" w:sz="4" w:space="0" w:color="000000"/>
              <w:bottom w:val="single" w:sz="4" w:space="0" w:color="000000"/>
              <w:right w:val="nil"/>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В т.ч.: врачи-кардиологи</w:t>
            </w:r>
          </w:p>
        </w:tc>
        <w:tc>
          <w:tcPr>
            <w:tcW w:w="1167" w:type="dxa"/>
            <w:tcBorders>
              <w:top w:val="single" w:sz="4" w:space="0" w:color="000000"/>
              <w:left w:val="single" w:sz="4" w:space="0" w:color="000000"/>
              <w:bottom w:val="single" w:sz="4" w:space="0" w:color="000000"/>
              <w:right w:val="nil"/>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16,5</w:t>
            </w:r>
          </w:p>
        </w:tc>
        <w:tc>
          <w:tcPr>
            <w:tcW w:w="1253" w:type="dxa"/>
            <w:tcBorders>
              <w:top w:val="single" w:sz="4" w:space="0" w:color="000000"/>
              <w:left w:val="single" w:sz="4" w:space="0" w:color="000000"/>
              <w:bottom w:val="single" w:sz="4" w:space="0" w:color="000000"/>
              <w:right w:val="nil"/>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16</w:t>
            </w:r>
          </w:p>
        </w:tc>
        <w:tc>
          <w:tcPr>
            <w:tcW w:w="1503" w:type="dxa"/>
            <w:tcBorders>
              <w:top w:val="single" w:sz="4" w:space="0" w:color="000000"/>
              <w:left w:val="single" w:sz="4" w:space="0" w:color="000000"/>
              <w:bottom w:val="single" w:sz="4" w:space="0" w:color="000000"/>
              <w:right w:val="nil"/>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0,5</w:t>
            </w:r>
          </w:p>
        </w:tc>
        <w:tc>
          <w:tcPr>
            <w:tcW w:w="1422" w:type="dxa"/>
            <w:tcBorders>
              <w:top w:val="single" w:sz="4" w:space="0" w:color="000000"/>
              <w:left w:val="single" w:sz="4" w:space="0" w:color="000000"/>
              <w:bottom w:val="single" w:sz="4" w:space="0" w:color="000000"/>
              <w:right w:val="nil"/>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w:t>
            </w:r>
          </w:p>
        </w:tc>
        <w:tc>
          <w:tcPr>
            <w:tcW w:w="874" w:type="dxa"/>
            <w:tcBorders>
              <w:top w:val="single" w:sz="4" w:space="0" w:color="000000"/>
              <w:left w:val="single" w:sz="4" w:space="0" w:color="000000"/>
              <w:bottom w:val="single" w:sz="4" w:space="0" w:color="000000"/>
              <w:right w:val="nil"/>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17</w:t>
            </w:r>
          </w:p>
        </w:tc>
        <w:tc>
          <w:tcPr>
            <w:tcW w:w="1169" w:type="dxa"/>
            <w:tcBorders>
              <w:top w:val="single" w:sz="4" w:space="0" w:color="000000"/>
              <w:left w:val="single" w:sz="4" w:space="0" w:color="000000"/>
              <w:bottom w:val="single" w:sz="4" w:space="0" w:color="000000"/>
              <w:right w:val="nil"/>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w:t>
            </w:r>
          </w:p>
        </w:tc>
        <w:tc>
          <w:tcPr>
            <w:tcW w:w="1197" w:type="dxa"/>
            <w:tcBorders>
              <w:top w:val="single" w:sz="4" w:space="0" w:color="000000"/>
              <w:left w:val="single" w:sz="4" w:space="0" w:color="000000"/>
              <w:bottom w:val="single" w:sz="4" w:space="0" w:color="000000"/>
              <w:right w:val="single" w:sz="4" w:space="0" w:color="000000"/>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1</w:t>
            </w:r>
          </w:p>
        </w:tc>
      </w:tr>
      <w:tr w:rsidR="00ED7F17" w:rsidTr="00ED7F17">
        <w:tc>
          <w:tcPr>
            <w:tcW w:w="1628"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167"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253"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503"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422"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874"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169"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197" w:type="dxa"/>
            <w:tcBorders>
              <w:top w:val="single" w:sz="4" w:space="0" w:color="000000"/>
              <w:left w:val="single" w:sz="4" w:space="0" w:color="000000"/>
              <w:bottom w:val="single" w:sz="4" w:space="0" w:color="000000"/>
              <w:right w:val="single" w:sz="4" w:space="0" w:color="000000"/>
            </w:tcBorders>
          </w:tcPr>
          <w:p w:rsidR="00ED7F17" w:rsidRDefault="00ED7F17">
            <w:pPr>
              <w:snapToGrid w:val="0"/>
              <w:spacing w:line="252" w:lineRule="auto"/>
              <w:jc w:val="center"/>
              <w:rPr>
                <w:rFonts w:eastAsia="Lucida Sans Unicode"/>
                <w:color w:val="auto"/>
                <w:kern w:val="2"/>
                <w:sz w:val="18"/>
                <w:szCs w:val="18"/>
                <w:lang w:eastAsia="ar-SA"/>
              </w:rPr>
            </w:pPr>
          </w:p>
        </w:tc>
      </w:tr>
      <w:tr w:rsidR="00ED7F17" w:rsidTr="00ED7F17">
        <w:tc>
          <w:tcPr>
            <w:tcW w:w="1628" w:type="dxa"/>
            <w:tcBorders>
              <w:top w:val="single" w:sz="4" w:space="0" w:color="000000"/>
              <w:left w:val="single" w:sz="4" w:space="0" w:color="000000"/>
              <w:bottom w:val="single" w:sz="4" w:space="0" w:color="000000"/>
              <w:right w:val="nil"/>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Врачи-специалисты:</w:t>
            </w:r>
          </w:p>
        </w:tc>
        <w:tc>
          <w:tcPr>
            <w:tcW w:w="1167"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253"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503"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422"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874"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169"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197" w:type="dxa"/>
            <w:tcBorders>
              <w:top w:val="single" w:sz="4" w:space="0" w:color="000000"/>
              <w:left w:val="single" w:sz="4" w:space="0" w:color="000000"/>
              <w:bottom w:val="single" w:sz="4" w:space="0" w:color="000000"/>
              <w:right w:val="single" w:sz="4" w:space="0" w:color="000000"/>
            </w:tcBorders>
          </w:tcPr>
          <w:p w:rsidR="00ED7F17" w:rsidRDefault="00ED7F17">
            <w:pPr>
              <w:snapToGrid w:val="0"/>
              <w:spacing w:line="252" w:lineRule="auto"/>
              <w:jc w:val="center"/>
              <w:rPr>
                <w:rFonts w:eastAsia="Lucida Sans Unicode"/>
                <w:color w:val="auto"/>
                <w:kern w:val="2"/>
                <w:sz w:val="18"/>
                <w:szCs w:val="18"/>
                <w:lang w:eastAsia="ar-SA"/>
              </w:rPr>
            </w:pPr>
          </w:p>
        </w:tc>
      </w:tr>
      <w:tr w:rsidR="00ED7F17" w:rsidTr="00ED7F17">
        <w:tc>
          <w:tcPr>
            <w:tcW w:w="1628" w:type="dxa"/>
            <w:tcBorders>
              <w:top w:val="single" w:sz="4" w:space="0" w:color="000000"/>
              <w:left w:val="single" w:sz="4" w:space="0" w:color="000000"/>
              <w:bottom w:val="single" w:sz="4" w:space="0" w:color="000000"/>
              <w:right w:val="nil"/>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Врач-анестезиолог-реаниматолог</w:t>
            </w:r>
          </w:p>
        </w:tc>
        <w:tc>
          <w:tcPr>
            <w:tcW w:w="1167"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253"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503"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422"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874"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169"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197" w:type="dxa"/>
            <w:tcBorders>
              <w:top w:val="single" w:sz="4" w:space="0" w:color="000000"/>
              <w:left w:val="single" w:sz="4" w:space="0" w:color="000000"/>
              <w:bottom w:val="single" w:sz="4" w:space="0" w:color="000000"/>
              <w:right w:val="single" w:sz="4" w:space="0" w:color="000000"/>
            </w:tcBorders>
          </w:tcPr>
          <w:p w:rsidR="00ED7F17" w:rsidRDefault="00ED7F17">
            <w:pPr>
              <w:snapToGrid w:val="0"/>
              <w:spacing w:line="252" w:lineRule="auto"/>
              <w:jc w:val="center"/>
              <w:rPr>
                <w:rFonts w:eastAsia="Lucida Sans Unicode"/>
                <w:color w:val="auto"/>
                <w:kern w:val="2"/>
                <w:sz w:val="18"/>
                <w:szCs w:val="18"/>
                <w:lang w:eastAsia="ar-SA"/>
              </w:rPr>
            </w:pPr>
          </w:p>
        </w:tc>
      </w:tr>
      <w:tr w:rsidR="00ED7F17" w:rsidTr="00ED7F17">
        <w:tc>
          <w:tcPr>
            <w:tcW w:w="1628" w:type="dxa"/>
            <w:tcBorders>
              <w:top w:val="single" w:sz="4" w:space="0" w:color="000000"/>
              <w:left w:val="single" w:sz="4" w:space="0" w:color="000000"/>
              <w:bottom w:val="single" w:sz="4" w:space="0" w:color="000000"/>
              <w:right w:val="nil"/>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Врач функциональной диагностики</w:t>
            </w:r>
          </w:p>
        </w:tc>
        <w:tc>
          <w:tcPr>
            <w:tcW w:w="1167"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253"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503"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422"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874"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169"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197" w:type="dxa"/>
            <w:tcBorders>
              <w:top w:val="single" w:sz="4" w:space="0" w:color="000000"/>
              <w:left w:val="single" w:sz="4" w:space="0" w:color="000000"/>
              <w:bottom w:val="single" w:sz="4" w:space="0" w:color="000000"/>
              <w:right w:val="single" w:sz="4" w:space="0" w:color="000000"/>
            </w:tcBorders>
          </w:tcPr>
          <w:p w:rsidR="00ED7F17" w:rsidRDefault="00ED7F17">
            <w:pPr>
              <w:snapToGrid w:val="0"/>
              <w:spacing w:line="252" w:lineRule="auto"/>
              <w:jc w:val="center"/>
              <w:rPr>
                <w:rFonts w:eastAsia="Lucida Sans Unicode"/>
                <w:color w:val="auto"/>
                <w:kern w:val="2"/>
                <w:sz w:val="18"/>
                <w:szCs w:val="18"/>
                <w:lang w:eastAsia="ar-SA"/>
              </w:rPr>
            </w:pPr>
          </w:p>
        </w:tc>
      </w:tr>
      <w:tr w:rsidR="00ED7F17" w:rsidTr="00ED7F17">
        <w:tc>
          <w:tcPr>
            <w:tcW w:w="1628" w:type="dxa"/>
            <w:tcBorders>
              <w:top w:val="single" w:sz="4" w:space="0" w:color="000000"/>
              <w:left w:val="single" w:sz="4" w:space="0" w:color="000000"/>
              <w:bottom w:val="single" w:sz="4" w:space="0" w:color="000000"/>
              <w:right w:val="nil"/>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Врач ультразвуковой диагностики</w:t>
            </w:r>
          </w:p>
        </w:tc>
        <w:tc>
          <w:tcPr>
            <w:tcW w:w="1167"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253"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503"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422"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874"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169"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197" w:type="dxa"/>
            <w:tcBorders>
              <w:top w:val="single" w:sz="4" w:space="0" w:color="000000"/>
              <w:left w:val="single" w:sz="4" w:space="0" w:color="000000"/>
              <w:bottom w:val="single" w:sz="4" w:space="0" w:color="000000"/>
              <w:right w:val="single" w:sz="4" w:space="0" w:color="000000"/>
            </w:tcBorders>
          </w:tcPr>
          <w:p w:rsidR="00ED7F17" w:rsidRDefault="00ED7F17">
            <w:pPr>
              <w:snapToGrid w:val="0"/>
              <w:spacing w:line="252" w:lineRule="auto"/>
              <w:jc w:val="center"/>
              <w:rPr>
                <w:rFonts w:eastAsia="Lucida Sans Unicode"/>
                <w:color w:val="auto"/>
                <w:kern w:val="2"/>
                <w:sz w:val="18"/>
                <w:szCs w:val="18"/>
                <w:lang w:eastAsia="ar-SA"/>
              </w:rPr>
            </w:pPr>
          </w:p>
        </w:tc>
      </w:tr>
      <w:tr w:rsidR="00ED7F17" w:rsidTr="00ED7F17">
        <w:tc>
          <w:tcPr>
            <w:tcW w:w="1628" w:type="dxa"/>
            <w:tcBorders>
              <w:top w:val="single" w:sz="4" w:space="0" w:color="000000"/>
              <w:left w:val="single" w:sz="4" w:space="0" w:color="000000"/>
              <w:bottom w:val="single" w:sz="4" w:space="0" w:color="000000"/>
              <w:right w:val="nil"/>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Врач невролог</w:t>
            </w:r>
          </w:p>
        </w:tc>
        <w:tc>
          <w:tcPr>
            <w:tcW w:w="1167" w:type="dxa"/>
            <w:tcBorders>
              <w:top w:val="single" w:sz="4" w:space="0" w:color="000000"/>
              <w:left w:val="single" w:sz="4" w:space="0" w:color="000000"/>
              <w:bottom w:val="single" w:sz="4" w:space="0" w:color="000000"/>
              <w:right w:val="nil"/>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15</w:t>
            </w:r>
          </w:p>
        </w:tc>
        <w:tc>
          <w:tcPr>
            <w:tcW w:w="1253" w:type="dxa"/>
            <w:tcBorders>
              <w:top w:val="single" w:sz="4" w:space="0" w:color="000000"/>
              <w:left w:val="single" w:sz="4" w:space="0" w:color="000000"/>
              <w:bottom w:val="single" w:sz="4" w:space="0" w:color="000000"/>
              <w:right w:val="nil"/>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15</w:t>
            </w:r>
          </w:p>
        </w:tc>
        <w:tc>
          <w:tcPr>
            <w:tcW w:w="1503" w:type="dxa"/>
            <w:tcBorders>
              <w:top w:val="single" w:sz="4" w:space="0" w:color="000000"/>
              <w:left w:val="single" w:sz="4" w:space="0" w:color="000000"/>
              <w:bottom w:val="single" w:sz="4" w:space="0" w:color="000000"/>
              <w:right w:val="nil"/>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w:t>
            </w:r>
          </w:p>
        </w:tc>
        <w:tc>
          <w:tcPr>
            <w:tcW w:w="1422" w:type="dxa"/>
            <w:tcBorders>
              <w:top w:val="single" w:sz="4" w:space="0" w:color="000000"/>
              <w:left w:val="single" w:sz="4" w:space="0" w:color="000000"/>
              <w:bottom w:val="single" w:sz="4" w:space="0" w:color="000000"/>
              <w:right w:val="nil"/>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w:t>
            </w:r>
          </w:p>
        </w:tc>
        <w:tc>
          <w:tcPr>
            <w:tcW w:w="874" w:type="dxa"/>
            <w:tcBorders>
              <w:top w:val="single" w:sz="4" w:space="0" w:color="000000"/>
              <w:left w:val="single" w:sz="4" w:space="0" w:color="000000"/>
              <w:bottom w:val="single" w:sz="4" w:space="0" w:color="000000"/>
              <w:right w:val="nil"/>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15</w:t>
            </w:r>
          </w:p>
        </w:tc>
        <w:tc>
          <w:tcPr>
            <w:tcW w:w="1169" w:type="dxa"/>
            <w:tcBorders>
              <w:top w:val="single" w:sz="4" w:space="0" w:color="000000"/>
              <w:left w:val="single" w:sz="4" w:space="0" w:color="000000"/>
              <w:bottom w:val="single" w:sz="4" w:space="0" w:color="000000"/>
              <w:right w:val="nil"/>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w:t>
            </w:r>
          </w:p>
        </w:tc>
        <w:tc>
          <w:tcPr>
            <w:tcW w:w="1197" w:type="dxa"/>
            <w:tcBorders>
              <w:top w:val="single" w:sz="4" w:space="0" w:color="000000"/>
              <w:left w:val="single" w:sz="4" w:space="0" w:color="000000"/>
              <w:bottom w:val="single" w:sz="4" w:space="0" w:color="000000"/>
              <w:right w:val="single" w:sz="4" w:space="0" w:color="000000"/>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w:t>
            </w:r>
          </w:p>
        </w:tc>
      </w:tr>
      <w:tr w:rsidR="00ED7F17" w:rsidTr="00ED7F17">
        <w:tc>
          <w:tcPr>
            <w:tcW w:w="1628" w:type="dxa"/>
            <w:tcBorders>
              <w:top w:val="single" w:sz="4" w:space="0" w:color="000000"/>
              <w:left w:val="single" w:sz="4" w:space="0" w:color="000000"/>
              <w:bottom w:val="single" w:sz="4" w:space="0" w:color="000000"/>
              <w:right w:val="nil"/>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Врач-физиотерапевт</w:t>
            </w:r>
          </w:p>
        </w:tc>
        <w:tc>
          <w:tcPr>
            <w:tcW w:w="1167"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253"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503"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422"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874"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169"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197" w:type="dxa"/>
            <w:tcBorders>
              <w:top w:val="single" w:sz="4" w:space="0" w:color="000000"/>
              <w:left w:val="single" w:sz="4" w:space="0" w:color="000000"/>
              <w:bottom w:val="single" w:sz="4" w:space="0" w:color="000000"/>
              <w:right w:val="single" w:sz="4" w:space="0" w:color="000000"/>
            </w:tcBorders>
          </w:tcPr>
          <w:p w:rsidR="00ED7F17" w:rsidRDefault="00ED7F17">
            <w:pPr>
              <w:snapToGrid w:val="0"/>
              <w:spacing w:line="252" w:lineRule="auto"/>
              <w:jc w:val="center"/>
              <w:rPr>
                <w:rFonts w:eastAsia="Lucida Sans Unicode"/>
                <w:color w:val="auto"/>
                <w:kern w:val="2"/>
                <w:sz w:val="18"/>
                <w:szCs w:val="18"/>
                <w:lang w:eastAsia="ar-SA"/>
              </w:rPr>
            </w:pPr>
          </w:p>
        </w:tc>
      </w:tr>
      <w:tr w:rsidR="00ED7F17" w:rsidTr="00ED7F17">
        <w:tc>
          <w:tcPr>
            <w:tcW w:w="1628" w:type="dxa"/>
            <w:tcBorders>
              <w:top w:val="single" w:sz="4" w:space="0" w:color="000000"/>
              <w:left w:val="single" w:sz="4" w:space="0" w:color="000000"/>
              <w:bottom w:val="single" w:sz="4" w:space="0" w:color="000000"/>
              <w:right w:val="nil"/>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Врач-рефлексотерапевт</w:t>
            </w:r>
          </w:p>
        </w:tc>
        <w:tc>
          <w:tcPr>
            <w:tcW w:w="1167"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253"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503"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422"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874"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169"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197" w:type="dxa"/>
            <w:tcBorders>
              <w:top w:val="single" w:sz="4" w:space="0" w:color="000000"/>
              <w:left w:val="single" w:sz="4" w:space="0" w:color="000000"/>
              <w:bottom w:val="single" w:sz="4" w:space="0" w:color="000000"/>
              <w:right w:val="single" w:sz="4" w:space="0" w:color="000000"/>
            </w:tcBorders>
          </w:tcPr>
          <w:p w:rsidR="00ED7F17" w:rsidRDefault="00ED7F17">
            <w:pPr>
              <w:snapToGrid w:val="0"/>
              <w:spacing w:line="252" w:lineRule="auto"/>
              <w:jc w:val="center"/>
              <w:rPr>
                <w:rFonts w:eastAsia="Lucida Sans Unicode"/>
                <w:color w:val="auto"/>
                <w:kern w:val="2"/>
                <w:sz w:val="18"/>
                <w:szCs w:val="18"/>
                <w:lang w:eastAsia="ar-SA"/>
              </w:rPr>
            </w:pPr>
          </w:p>
        </w:tc>
      </w:tr>
      <w:tr w:rsidR="00ED7F17" w:rsidTr="00ED7F17">
        <w:tc>
          <w:tcPr>
            <w:tcW w:w="1628" w:type="dxa"/>
            <w:tcBorders>
              <w:top w:val="single" w:sz="4" w:space="0" w:color="000000"/>
              <w:left w:val="single" w:sz="4" w:space="0" w:color="000000"/>
              <w:bottom w:val="single" w:sz="4" w:space="0" w:color="000000"/>
              <w:right w:val="nil"/>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Врач-психотерапевт</w:t>
            </w:r>
          </w:p>
        </w:tc>
        <w:tc>
          <w:tcPr>
            <w:tcW w:w="1167"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253"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503"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422"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874"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169"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197" w:type="dxa"/>
            <w:tcBorders>
              <w:top w:val="single" w:sz="4" w:space="0" w:color="000000"/>
              <w:left w:val="single" w:sz="4" w:space="0" w:color="000000"/>
              <w:bottom w:val="single" w:sz="4" w:space="0" w:color="000000"/>
              <w:right w:val="single" w:sz="4" w:space="0" w:color="000000"/>
            </w:tcBorders>
          </w:tcPr>
          <w:p w:rsidR="00ED7F17" w:rsidRDefault="00ED7F17">
            <w:pPr>
              <w:snapToGrid w:val="0"/>
              <w:spacing w:line="252" w:lineRule="auto"/>
              <w:jc w:val="center"/>
              <w:rPr>
                <w:rFonts w:eastAsia="Lucida Sans Unicode"/>
                <w:color w:val="auto"/>
                <w:kern w:val="2"/>
                <w:sz w:val="18"/>
                <w:szCs w:val="18"/>
                <w:lang w:eastAsia="ar-SA"/>
              </w:rPr>
            </w:pPr>
          </w:p>
        </w:tc>
      </w:tr>
      <w:tr w:rsidR="00ED7F17" w:rsidTr="00ED7F17">
        <w:tc>
          <w:tcPr>
            <w:tcW w:w="1628" w:type="dxa"/>
            <w:tcBorders>
              <w:top w:val="single" w:sz="4" w:space="0" w:color="000000"/>
              <w:left w:val="single" w:sz="4" w:space="0" w:color="000000"/>
              <w:bottom w:val="single" w:sz="4" w:space="0" w:color="000000"/>
              <w:right w:val="nil"/>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Врач-рентгенолог</w:t>
            </w:r>
          </w:p>
        </w:tc>
        <w:tc>
          <w:tcPr>
            <w:tcW w:w="1167"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253"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503"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422"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874"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169"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197" w:type="dxa"/>
            <w:tcBorders>
              <w:top w:val="single" w:sz="4" w:space="0" w:color="000000"/>
              <w:left w:val="single" w:sz="4" w:space="0" w:color="000000"/>
              <w:bottom w:val="single" w:sz="4" w:space="0" w:color="000000"/>
              <w:right w:val="single" w:sz="4" w:space="0" w:color="000000"/>
            </w:tcBorders>
          </w:tcPr>
          <w:p w:rsidR="00ED7F17" w:rsidRDefault="00ED7F17">
            <w:pPr>
              <w:snapToGrid w:val="0"/>
              <w:spacing w:line="252" w:lineRule="auto"/>
              <w:jc w:val="center"/>
              <w:rPr>
                <w:rFonts w:eastAsia="Lucida Sans Unicode"/>
                <w:color w:val="auto"/>
                <w:kern w:val="2"/>
                <w:sz w:val="18"/>
                <w:szCs w:val="18"/>
                <w:lang w:eastAsia="ar-SA"/>
              </w:rPr>
            </w:pPr>
          </w:p>
        </w:tc>
      </w:tr>
      <w:tr w:rsidR="00ED7F17" w:rsidTr="00ED7F17">
        <w:tc>
          <w:tcPr>
            <w:tcW w:w="1628" w:type="dxa"/>
            <w:tcBorders>
              <w:top w:val="single" w:sz="4" w:space="0" w:color="000000"/>
              <w:left w:val="single" w:sz="4" w:space="0" w:color="000000"/>
              <w:bottom w:val="single" w:sz="4" w:space="0" w:color="000000"/>
              <w:right w:val="nil"/>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Врач-клинической лабораторной диагностики</w:t>
            </w:r>
          </w:p>
        </w:tc>
        <w:tc>
          <w:tcPr>
            <w:tcW w:w="1167"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253"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503"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422"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874"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169" w:type="dxa"/>
            <w:tcBorders>
              <w:top w:val="single" w:sz="4" w:space="0" w:color="000000"/>
              <w:left w:val="single" w:sz="4" w:space="0" w:color="000000"/>
              <w:bottom w:val="single" w:sz="4" w:space="0" w:color="000000"/>
              <w:right w:val="nil"/>
            </w:tcBorders>
          </w:tcPr>
          <w:p w:rsidR="00ED7F17" w:rsidRDefault="00ED7F17">
            <w:pPr>
              <w:snapToGrid w:val="0"/>
              <w:spacing w:line="252" w:lineRule="auto"/>
              <w:jc w:val="center"/>
              <w:rPr>
                <w:rFonts w:eastAsia="Lucida Sans Unicode"/>
                <w:color w:val="auto"/>
                <w:kern w:val="2"/>
                <w:sz w:val="18"/>
                <w:szCs w:val="18"/>
                <w:lang w:eastAsia="ar-SA"/>
              </w:rPr>
            </w:pPr>
          </w:p>
        </w:tc>
        <w:tc>
          <w:tcPr>
            <w:tcW w:w="1197" w:type="dxa"/>
            <w:tcBorders>
              <w:top w:val="single" w:sz="4" w:space="0" w:color="000000"/>
              <w:left w:val="single" w:sz="4" w:space="0" w:color="000000"/>
              <w:bottom w:val="single" w:sz="4" w:space="0" w:color="000000"/>
              <w:right w:val="single" w:sz="4" w:space="0" w:color="000000"/>
            </w:tcBorders>
          </w:tcPr>
          <w:p w:rsidR="00ED7F17" w:rsidRDefault="00ED7F17">
            <w:pPr>
              <w:snapToGrid w:val="0"/>
              <w:spacing w:line="252" w:lineRule="auto"/>
              <w:jc w:val="center"/>
              <w:rPr>
                <w:rFonts w:eastAsia="Lucida Sans Unicode"/>
                <w:color w:val="auto"/>
                <w:kern w:val="2"/>
                <w:sz w:val="18"/>
                <w:szCs w:val="18"/>
                <w:lang w:eastAsia="ar-SA"/>
              </w:rPr>
            </w:pPr>
          </w:p>
        </w:tc>
      </w:tr>
      <w:tr w:rsidR="00ED7F17" w:rsidTr="00ED7F17">
        <w:tc>
          <w:tcPr>
            <w:tcW w:w="1628" w:type="dxa"/>
            <w:tcBorders>
              <w:top w:val="single" w:sz="4" w:space="0" w:color="000000"/>
              <w:left w:val="single" w:sz="4" w:space="0" w:color="000000"/>
              <w:bottom w:val="single" w:sz="4" w:space="0" w:color="000000"/>
              <w:right w:val="nil"/>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Медицинские сестры всего</w:t>
            </w:r>
          </w:p>
        </w:tc>
        <w:tc>
          <w:tcPr>
            <w:tcW w:w="1167" w:type="dxa"/>
            <w:tcBorders>
              <w:top w:val="single" w:sz="4" w:space="0" w:color="000000"/>
              <w:left w:val="single" w:sz="4" w:space="0" w:color="000000"/>
              <w:bottom w:val="single" w:sz="4" w:space="0" w:color="000000"/>
              <w:right w:val="nil"/>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59</w:t>
            </w:r>
          </w:p>
        </w:tc>
        <w:tc>
          <w:tcPr>
            <w:tcW w:w="1253" w:type="dxa"/>
            <w:tcBorders>
              <w:top w:val="single" w:sz="4" w:space="0" w:color="000000"/>
              <w:left w:val="single" w:sz="4" w:space="0" w:color="000000"/>
              <w:bottom w:val="single" w:sz="4" w:space="0" w:color="000000"/>
              <w:right w:val="nil"/>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55</w:t>
            </w:r>
          </w:p>
        </w:tc>
        <w:tc>
          <w:tcPr>
            <w:tcW w:w="1503" w:type="dxa"/>
            <w:tcBorders>
              <w:top w:val="single" w:sz="4" w:space="0" w:color="000000"/>
              <w:left w:val="single" w:sz="4" w:space="0" w:color="000000"/>
              <w:bottom w:val="single" w:sz="4" w:space="0" w:color="000000"/>
              <w:right w:val="nil"/>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w:t>
            </w:r>
          </w:p>
        </w:tc>
        <w:tc>
          <w:tcPr>
            <w:tcW w:w="1422" w:type="dxa"/>
            <w:tcBorders>
              <w:top w:val="single" w:sz="4" w:space="0" w:color="000000"/>
              <w:left w:val="single" w:sz="4" w:space="0" w:color="000000"/>
              <w:bottom w:val="single" w:sz="4" w:space="0" w:color="000000"/>
              <w:right w:val="nil"/>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4</w:t>
            </w:r>
          </w:p>
        </w:tc>
        <w:tc>
          <w:tcPr>
            <w:tcW w:w="874" w:type="dxa"/>
            <w:tcBorders>
              <w:top w:val="single" w:sz="4" w:space="0" w:color="000000"/>
              <w:left w:val="single" w:sz="4" w:space="0" w:color="000000"/>
              <w:bottom w:val="single" w:sz="4" w:space="0" w:color="000000"/>
              <w:right w:val="nil"/>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51</w:t>
            </w:r>
          </w:p>
        </w:tc>
        <w:tc>
          <w:tcPr>
            <w:tcW w:w="1169" w:type="dxa"/>
            <w:tcBorders>
              <w:top w:val="single" w:sz="4" w:space="0" w:color="000000"/>
              <w:left w:val="single" w:sz="4" w:space="0" w:color="000000"/>
              <w:bottom w:val="single" w:sz="4" w:space="0" w:color="000000"/>
              <w:right w:val="nil"/>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8</w:t>
            </w:r>
          </w:p>
        </w:tc>
        <w:tc>
          <w:tcPr>
            <w:tcW w:w="1197" w:type="dxa"/>
            <w:tcBorders>
              <w:top w:val="single" w:sz="4" w:space="0" w:color="000000"/>
              <w:left w:val="single" w:sz="4" w:space="0" w:color="000000"/>
              <w:bottom w:val="single" w:sz="4" w:space="0" w:color="000000"/>
              <w:right w:val="single" w:sz="4" w:space="0" w:color="000000"/>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w:t>
            </w:r>
          </w:p>
        </w:tc>
      </w:tr>
      <w:tr w:rsidR="00ED7F17" w:rsidTr="00ED7F17">
        <w:tc>
          <w:tcPr>
            <w:tcW w:w="1628" w:type="dxa"/>
            <w:tcBorders>
              <w:top w:val="single" w:sz="4" w:space="0" w:color="000000"/>
              <w:left w:val="single" w:sz="4" w:space="0" w:color="000000"/>
              <w:bottom w:val="single" w:sz="4" w:space="0" w:color="000000"/>
              <w:right w:val="nil"/>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В т.ч.: медицинская сестра палатная (постовая)</w:t>
            </w:r>
          </w:p>
        </w:tc>
        <w:tc>
          <w:tcPr>
            <w:tcW w:w="1167" w:type="dxa"/>
            <w:tcBorders>
              <w:top w:val="single" w:sz="4" w:space="0" w:color="000000"/>
              <w:left w:val="single" w:sz="4" w:space="0" w:color="000000"/>
              <w:bottom w:val="single" w:sz="4" w:space="0" w:color="000000"/>
              <w:right w:val="nil"/>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56</w:t>
            </w:r>
          </w:p>
        </w:tc>
        <w:tc>
          <w:tcPr>
            <w:tcW w:w="1253" w:type="dxa"/>
            <w:tcBorders>
              <w:top w:val="single" w:sz="4" w:space="0" w:color="000000"/>
              <w:left w:val="single" w:sz="4" w:space="0" w:color="000000"/>
              <w:bottom w:val="single" w:sz="4" w:space="0" w:color="000000"/>
              <w:right w:val="nil"/>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53</w:t>
            </w:r>
          </w:p>
        </w:tc>
        <w:tc>
          <w:tcPr>
            <w:tcW w:w="1503" w:type="dxa"/>
            <w:tcBorders>
              <w:top w:val="single" w:sz="4" w:space="0" w:color="000000"/>
              <w:left w:val="single" w:sz="4" w:space="0" w:color="000000"/>
              <w:bottom w:val="single" w:sz="4" w:space="0" w:color="000000"/>
              <w:right w:val="nil"/>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w:t>
            </w:r>
          </w:p>
        </w:tc>
        <w:tc>
          <w:tcPr>
            <w:tcW w:w="1422" w:type="dxa"/>
            <w:tcBorders>
              <w:top w:val="single" w:sz="4" w:space="0" w:color="000000"/>
              <w:left w:val="single" w:sz="4" w:space="0" w:color="000000"/>
              <w:bottom w:val="single" w:sz="4" w:space="0" w:color="000000"/>
              <w:right w:val="nil"/>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4</w:t>
            </w:r>
          </w:p>
        </w:tc>
        <w:tc>
          <w:tcPr>
            <w:tcW w:w="874" w:type="dxa"/>
            <w:tcBorders>
              <w:top w:val="single" w:sz="4" w:space="0" w:color="000000"/>
              <w:left w:val="single" w:sz="4" w:space="0" w:color="000000"/>
              <w:bottom w:val="single" w:sz="4" w:space="0" w:color="000000"/>
              <w:right w:val="nil"/>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49</w:t>
            </w:r>
          </w:p>
        </w:tc>
        <w:tc>
          <w:tcPr>
            <w:tcW w:w="1169" w:type="dxa"/>
            <w:tcBorders>
              <w:top w:val="single" w:sz="4" w:space="0" w:color="000000"/>
              <w:left w:val="single" w:sz="4" w:space="0" w:color="000000"/>
              <w:bottom w:val="single" w:sz="4" w:space="0" w:color="000000"/>
              <w:right w:val="nil"/>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8</w:t>
            </w:r>
          </w:p>
        </w:tc>
        <w:tc>
          <w:tcPr>
            <w:tcW w:w="1197" w:type="dxa"/>
            <w:tcBorders>
              <w:top w:val="single" w:sz="4" w:space="0" w:color="000000"/>
              <w:left w:val="single" w:sz="4" w:space="0" w:color="000000"/>
              <w:bottom w:val="single" w:sz="4" w:space="0" w:color="000000"/>
              <w:right w:val="single" w:sz="4" w:space="0" w:color="000000"/>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w:t>
            </w:r>
          </w:p>
        </w:tc>
      </w:tr>
      <w:tr w:rsidR="00ED7F17" w:rsidTr="00ED7F17">
        <w:tc>
          <w:tcPr>
            <w:tcW w:w="1628" w:type="dxa"/>
            <w:tcBorders>
              <w:top w:val="single" w:sz="4" w:space="0" w:color="000000"/>
              <w:left w:val="single" w:sz="4" w:space="0" w:color="000000"/>
              <w:bottom w:val="single" w:sz="4" w:space="0" w:color="000000"/>
              <w:right w:val="nil"/>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Медицинская сестра процедурной</w:t>
            </w:r>
          </w:p>
        </w:tc>
        <w:tc>
          <w:tcPr>
            <w:tcW w:w="1167" w:type="dxa"/>
            <w:tcBorders>
              <w:top w:val="single" w:sz="4" w:space="0" w:color="000000"/>
              <w:left w:val="single" w:sz="4" w:space="0" w:color="000000"/>
              <w:bottom w:val="single" w:sz="4" w:space="0" w:color="000000"/>
              <w:right w:val="nil"/>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3</w:t>
            </w:r>
          </w:p>
        </w:tc>
        <w:tc>
          <w:tcPr>
            <w:tcW w:w="1253" w:type="dxa"/>
            <w:tcBorders>
              <w:top w:val="single" w:sz="4" w:space="0" w:color="000000"/>
              <w:left w:val="single" w:sz="4" w:space="0" w:color="000000"/>
              <w:bottom w:val="single" w:sz="4" w:space="0" w:color="000000"/>
              <w:right w:val="nil"/>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2</w:t>
            </w:r>
          </w:p>
        </w:tc>
        <w:tc>
          <w:tcPr>
            <w:tcW w:w="1503" w:type="dxa"/>
            <w:tcBorders>
              <w:top w:val="single" w:sz="4" w:space="0" w:color="000000"/>
              <w:left w:val="single" w:sz="4" w:space="0" w:color="000000"/>
              <w:bottom w:val="single" w:sz="4" w:space="0" w:color="000000"/>
              <w:right w:val="nil"/>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w:t>
            </w:r>
          </w:p>
        </w:tc>
        <w:tc>
          <w:tcPr>
            <w:tcW w:w="1422" w:type="dxa"/>
            <w:tcBorders>
              <w:top w:val="single" w:sz="4" w:space="0" w:color="000000"/>
              <w:left w:val="single" w:sz="4" w:space="0" w:color="000000"/>
              <w:bottom w:val="single" w:sz="4" w:space="0" w:color="000000"/>
              <w:right w:val="nil"/>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w:t>
            </w:r>
          </w:p>
        </w:tc>
        <w:tc>
          <w:tcPr>
            <w:tcW w:w="874" w:type="dxa"/>
            <w:tcBorders>
              <w:top w:val="single" w:sz="4" w:space="0" w:color="000000"/>
              <w:left w:val="single" w:sz="4" w:space="0" w:color="000000"/>
              <w:bottom w:val="single" w:sz="4" w:space="0" w:color="000000"/>
              <w:right w:val="nil"/>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2</w:t>
            </w:r>
          </w:p>
        </w:tc>
        <w:tc>
          <w:tcPr>
            <w:tcW w:w="1169" w:type="dxa"/>
            <w:tcBorders>
              <w:top w:val="single" w:sz="4" w:space="0" w:color="000000"/>
              <w:left w:val="single" w:sz="4" w:space="0" w:color="000000"/>
              <w:bottom w:val="single" w:sz="4" w:space="0" w:color="000000"/>
              <w:right w:val="nil"/>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w:t>
            </w:r>
          </w:p>
        </w:tc>
        <w:tc>
          <w:tcPr>
            <w:tcW w:w="1197" w:type="dxa"/>
            <w:tcBorders>
              <w:top w:val="single" w:sz="4" w:space="0" w:color="000000"/>
              <w:left w:val="single" w:sz="4" w:space="0" w:color="000000"/>
              <w:bottom w:val="single" w:sz="4" w:space="0" w:color="000000"/>
              <w:right w:val="single" w:sz="4" w:space="0" w:color="000000"/>
            </w:tcBorders>
            <w:hideMark/>
          </w:tcPr>
          <w:p w:rsidR="00ED7F17" w:rsidRDefault="00ED7F17">
            <w:pPr>
              <w:spacing w:line="252" w:lineRule="auto"/>
              <w:jc w:val="center"/>
              <w:rPr>
                <w:rFonts w:ascii="Arial" w:eastAsia="Arial" w:hAnsi="Arial" w:cs="Arial"/>
                <w:sz w:val="22"/>
                <w:szCs w:val="22"/>
              </w:rPr>
            </w:pPr>
            <w:r>
              <w:rPr>
                <w:rFonts w:eastAsia="Lucida Sans Unicode"/>
                <w:color w:val="auto"/>
                <w:kern w:val="2"/>
                <w:sz w:val="18"/>
                <w:szCs w:val="18"/>
                <w:lang w:eastAsia="ar-SA"/>
              </w:rPr>
              <w:t>-</w:t>
            </w:r>
          </w:p>
        </w:tc>
      </w:tr>
    </w:tbl>
    <w:p w:rsidR="00ED7F17" w:rsidRDefault="00ED7F17" w:rsidP="00ED7F17">
      <w:pPr>
        <w:ind w:left="720" w:firstLine="709"/>
        <w:jc w:val="center"/>
        <w:rPr>
          <w:rFonts w:eastAsia="Arial"/>
          <w:b/>
          <w:bCs/>
          <w:highlight w:val="white"/>
        </w:rPr>
      </w:pPr>
    </w:p>
    <w:p w:rsidR="00ED7F17" w:rsidRDefault="00ED7F17" w:rsidP="00ED7F17">
      <w:pPr>
        <w:ind w:firstLine="680"/>
        <w:jc w:val="both"/>
        <w:rPr>
          <w:rFonts w:ascii="Arial" w:hAnsi="Arial" w:cs="Arial"/>
          <w:sz w:val="22"/>
          <w:szCs w:val="22"/>
        </w:rPr>
      </w:pPr>
      <w:r>
        <w:rPr>
          <w:rFonts w:eastAsia="Calibri"/>
        </w:rPr>
        <w:t xml:space="preserve">В рамках регионального проекта Астраханской области «Обеспечение медицинских организаций системы здравоохранения квалифицированными кадрами» планируется устранение кадрового дефицита медицинских работников «первичного звена», а также необходимого кадрового обеспечения профильными специалистами отрасли для достижения установленных результатов, предусмотренных мероприятиями Национального проекта «Здравоохранение» по снижению смертности от сердечно-сосудистых заболеваний. </w:t>
      </w:r>
    </w:p>
    <w:p w:rsidR="00ED7F17" w:rsidRDefault="00ED7F17" w:rsidP="00ED7F17">
      <w:pPr>
        <w:ind w:left="720" w:firstLine="709"/>
        <w:jc w:val="both"/>
        <w:rPr>
          <w:b/>
          <w:bCs/>
        </w:rPr>
      </w:pPr>
    </w:p>
    <w:p w:rsidR="00ED7F17" w:rsidRDefault="00ED7F17" w:rsidP="00ED7F17">
      <w:pPr>
        <w:ind w:firstLine="709"/>
        <w:jc w:val="both"/>
        <w:rPr>
          <w:rFonts w:ascii="Arial" w:hAnsi="Arial" w:cs="Arial"/>
          <w:sz w:val="22"/>
          <w:szCs w:val="22"/>
        </w:rPr>
      </w:pPr>
      <w:r>
        <w:rPr>
          <w:b/>
          <w:bCs/>
        </w:rPr>
        <w:t>1.6. Анализ деятельности каждой медицинской организации, участвующей в оказании стационарной помощи больным с ОНМК и/или ОКС, с оценкой необходимости оптимизации функционирования</w:t>
      </w:r>
    </w:p>
    <w:p w:rsidR="00ED7F17" w:rsidRDefault="00ED7F17" w:rsidP="00ED7F17">
      <w:pPr>
        <w:ind w:firstLine="709"/>
        <w:jc w:val="both"/>
        <w:rPr>
          <w:b/>
          <w:bCs/>
        </w:rPr>
      </w:pPr>
    </w:p>
    <w:p w:rsidR="00ED7F17" w:rsidRDefault="00ED7F17" w:rsidP="00ED7F17">
      <w:pPr>
        <w:ind w:firstLine="709"/>
        <w:jc w:val="both"/>
        <w:rPr>
          <w:rFonts w:ascii="Arial" w:hAnsi="Arial" w:cs="Arial"/>
          <w:sz w:val="22"/>
          <w:szCs w:val="22"/>
        </w:rPr>
      </w:pPr>
      <w:r>
        <w:t>В регионе в лечении острых состояний больных с сердечно-сосудистыми заболеваниями принимает участие 6 медицинских организаций (</w:t>
      </w:r>
      <w:r>
        <w:rPr>
          <w:highlight w:val="white"/>
        </w:rPr>
        <w:t>РСЦ ГБУЗ АО Александро-Мариинская областная клиническая больница, ПСО ГБУЗ АО «Ахтубинская РБ», ПСО ГБУЗ АО «Городская клиническая больница №3 им. С.М. Кирова», кардиологическое отделение ФГБУ «ФЦССХ» Минздрава России (Кировский район, г. Астрахань), кардиологические койки ГБУЗ АО «Харабалинская РБ» и ГБУЗ АО «Енотаевская РБ».</w:t>
      </w:r>
    </w:p>
    <w:p w:rsidR="00ED7F17" w:rsidRDefault="00ED7F17" w:rsidP="00ED7F17">
      <w:pPr>
        <w:ind w:firstLine="709"/>
        <w:jc w:val="both"/>
      </w:pPr>
    </w:p>
    <w:p w:rsidR="00ED7F17" w:rsidRDefault="00ED7F17" w:rsidP="00ED7F17">
      <w:pPr>
        <w:jc w:val="center"/>
        <w:rPr>
          <w:rFonts w:ascii="Arial" w:hAnsi="Arial" w:cs="Arial"/>
          <w:sz w:val="22"/>
          <w:szCs w:val="22"/>
        </w:rPr>
      </w:pPr>
      <w:r>
        <w:rPr>
          <w:b/>
        </w:rPr>
        <w:t>Анализ деятельности РСЦ</w:t>
      </w:r>
    </w:p>
    <w:p w:rsidR="00ED7F17" w:rsidRDefault="00ED7F17" w:rsidP="00ED7F17">
      <w:pPr>
        <w:ind w:firstLine="709"/>
        <w:jc w:val="both"/>
      </w:pPr>
      <w:r>
        <w:t>Анализ основных показателей деятельности структурных подразделений РСЦ за 2018 год показал, что в сравнении с 2017 годом ряд показателей остался на прежнем уровне. В частности, это структура госпитализации по формам помощи (более 95% пациентов в обоих отделения было  госпитализировано по экстренным показаниям - доставлены СМП), структура госпитализаций по районам области, соотношение пациентов, проживающих в городе и районах области, структура госпитализированных по нозологическим формам (95% - это пациенты с острой сосудистой патологией, остальные – это пациенты, доставленные по экстренным показаниям с подозрением на ОКС/ОНМК, но в ходе обследования диагноз не подтвердился).</w:t>
      </w:r>
    </w:p>
    <w:p w:rsidR="00ED7F17" w:rsidRDefault="00ED7F17" w:rsidP="00ED7F17">
      <w:pPr>
        <w:ind w:firstLine="709"/>
        <w:jc w:val="both"/>
      </w:pPr>
      <w:r>
        <w:t xml:space="preserve">По сравнению с отчетным периодом 2017 года в 2018 году увеличилось количество пролеченных пациентов как в отделении неврологии, так и в отделении кардиологии (поток пациентов увеличился за счет роста самообращаемости вследствие большей информированности граждан, а также за счет изменения схемы маршрутизации). Среди госпитализированных пациентов: городских – 55,3%, сельских – 44,7%. Среднегодовая занятость койки в РСЦ составила 316,2 дней в году. </w:t>
      </w:r>
    </w:p>
    <w:p w:rsidR="00ED7F17" w:rsidRDefault="00ED7F17" w:rsidP="00ED7F17">
      <w:pPr>
        <w:ind w:firstLine="680"/>
        <w:jc w:val="center"/>
      </w:pPr>
      <w:r>
        <w:rPr>
          <w:b/>
        </w:rPr>
        <w:t>Неврологическое отделение РСЦ</w:t>
      </w:r>
    </w:p>
    <w:p w:rsidR="00ED7F17" w:rsidRDefault="00ED7F17" w:rsidP="00ED7F17">
      <w:pPr>
        <w:ind w:firstLine="680"/>
        <w:jc w:val="both"/>
      </w:pPr>
      <w:r>
        <w:t>Неврологическое отделение РСЦ развернуто на 40 коек, в том числе 8 коек БИТР. В состав РСЦ входят 10 нейрохирургических коек, 10 коек сосудистой хирургии и отделение РХМДЛ.</w:t>
      </w:r>
    </w:p>
    <w:p w:rsidR="00ED7F17" w:rsidRDefault="00ED7F17" w:rsidP="00ED7F17">
      <w:pPr>
        <w:widowControl w:val="0"/>
        <w:tabs>
          <w:tab w:val="left" w:pos="1134"/>
        </w:tabs>
        <w:suppressAutoHyphens w:val="0"/>
        <w:ind w:firstLine="709"/>
        <w:jc w:val="both"/>
      </w:pPr>
      <w:r>
        <w:rPr>
          <w:rFonts w:eastAsia="SimSun"/>
          <w:lang w:bidi="hi-IN"/>
        </w:rPr>
        <w:t>В РСЦ пациенты госпитализируются, минуя приемное отделение, на догоспитальном этапе всем пациентам с подозрением на ОНМК проводится КТ головного мозга. В течение 40 минут результат КТ передается дежурному неврологу. При наличии геморрагического инсульта по данным КТ пациенты консультируются нейрохирургом и на догоспитальном этапе принимается решение о необходимости и возможности оперативного лечения в</w:t>
      </w:r>
      <w:r>
        <w:t xml:space="preserve"> нейрохирургическом отделении регионального сосудистого центра ГБУЗ АО АМОКБ.</w:t>
      </w:r>
      <w:r>
        <w:rPr>
          <w:rFonts w:eastAsia="SimSun"/>
          <w:lang w:bidi="hi-IN"/>
        </w:rPr>
        <w:t xml:space="preserve"> Если оперативное лечение не показано, пациент госпитализируется в БИТР РСЦ неврологическое отделение. В БИТР 100% пациентов находятся не менее 24 часов, 100% пациентам при поступлении исследуется кровь на МНО, глюкозу, тромбоциты и АЧТВ, в течение 20 минут результат анализов передается дежурному неврологу. Все пациенты, имеющие гемодинамически значимый стеноз БЦА консультируются сосудистым хирургом и при необходимости направляются на оперативное лечение с целью вторичной профилактики повторных сосудистых событий.</w:t>
      </w:r>
    </w:p>
    <w:p w:rsidR="00ED7F17" w:rsidRDefault="00ED7F17" w:rsidP="00ED7F17">
      <w:pPr>
        <w:widowControl w:val="0"/>
        <w:tabs>
          <w:tab w:val="left" w:pos="1134"/>
        </w:tabs>
        <w:suppressAutoHyphens w:val="0"/>
        <w:ind w:firstLine="709"/>
        <w:jc w:val="both"/>
      </w:pPr>
      <w:r>
        <w:rPr>
          <w:rFonts w:eastAsia="SimSun"/>
          <w:lang w:bidi="hi-IN"/>
        </w:rPr>
        <w:t>За 2018 год на территории АМОКБ проведено160 операций на сонных артериях, 10 сонно-подключичных шунтирований и 2 брахиоцефальных ствола.</w:t>
      </w:r>
    </w:p>
    <w:p w:rsidR="00ED7F17" w:rsidRDefault="00ED7F17" w:rsidP="00ED7F17">
      <w:pPr>
        <w:widowControl w:val="0"/>
        <w:tabs>
          <w:tab w:val="left" w:pos="1134"/>
        </w:tabs>
        <w:suppressAutoHyphens w:val="0"/>
        <w:ind w:firstLine="709"/>
        <w:jc w:val="both"/>
      </w:pPr>
      <w:r>
        <w:rPr>
          <w:rFonts w:eastAsia="SimSun"/>
          <w:lang w:bidi="hi-IN"/>
        </w:rPr>
        <w:t>Направляется на 2 этап реабилитации более 20% пациентов (по итогам 2018 года 21,3% от всех инсультов ( согласно ШМР).</w:t>
      </w:r>
    </w:p>
    <w:p w:rsidR="00ED7F17" w:rsidRDefault="00ED7F17" w:rsidP="00ED7F17">
      <w:pPr>
        <w:widowControl w:val="0"/>
        <w:rPr>
          <w:lang w:bidi="hi-IN"/>
        </w:rPr>
      </w:pPr>
    </w:p>
    <w:p w:rsidR="00ED7F17" w:rsidRDefault="00ED7F17" w:rsidP="00ED7F17">
      <w:pPr>
        <w:widowControl w:val="0"/>
        <w:rPr>
          <w:rFonts w:ascii="Arial" w:eastAsia="Arial" w:hAnsi="Arial" w:cs="Arial"/>
          <w:sz w:val="22"/>
          <w:szCs w:val="22"/>
        </w:rPr>
      </w:pPr>
      <w:r>
        <w:rPr>
          <w:rFonts w:eastAsia="Cambria"/>
          <w:lang w:bidi="hi-IN"/>
        </w:rPr>
        <w:t xml:space="preserve">Анализ работы неврологического отделения </w:t>
      </w:r>
      <w:r>
        <w:t>РСЦ</w:t>
      </w:r>
    </w:p>
    <w:tbl>
      <w:tblPr>
        <w:tblW w:w="0" w:type="auto"/>
        <w:tblInd w:w="103" w:type="dxa"/>
        <w:tblLayout w:type="fixed"/>
        <w:tblCellMar>
          <w:left w:w="103" w:type="dxa"/>
        </w:tblCellMar>
        <w:tblLook w:val="04A0" w:firstRow="1" w:lastRow="0" w:firstColumn="1" w:lastColumn="0" w:noHBand="0" w:noVBand="1"/>
      </w:tblPr>
      <w:tblGrid>
        <w:gridCol w:w="1897"/>
        <w:gridCol w:w="1298"/>
        <w:gridCol w:w="1635"/>
        <w:gridCol w:w="1635"/>
        <w:gridCol w:w="1709"/>
        <w:gridCol w:w="1599"/>
      </w:tblGrid>
      <w:tr w:rsidR="00ED7F17" w:rsidTr="00ED7F17">
        <w:trPr>
          <w:trHeight w:val="359"/>
        </w:trPr>
        <w:tc>
          <w:tcPr>
            <w:tcW w:w="1897" w:type="dxa"/>
            <w:tcBorders>
              <w:top w:val="single" w:sz="4" w:space="0" w:color="000000"/>
              <w:left w:val="single" w:sz="4" w:space="0" w:color="000000"/>
              <w:bottom w:val="single" w:sz="4" w:space="0" w:color="000000"/>
              <w:right w:val="nil"/>
            </w:tcBorders>
          </w:tcPr>
          <w:p w:rsidR="00ED7F17" w:rsidRDefault="00ED7F17">
            <w:pPr>
              <w:widowControl w:val="0"/>
              <w:snapToGrid w:val="0"/>
              <w:jc w:val="center"/>
              <w:rPr>
                <w:rFonts w:eastAsia="Cambria"/>
                <w:sz w:val="20"/>
                <w:szCs w:val="20"/>
                <w:lang w:bidi="hi-IN"/>
              </w:rPr>
            </w:pPr>
          </w:p>
        </w:tc>
        <w:tc>
          <w:tcPr>
            <w:tcW w:w="1298" w:type="dxa"/>
            <w:tcBorders>
              <w:top w:val="single" w:sz="4" w:space="0" w:color="000000"/>
              <w:left w:val="single" w:sz="4" w:space="0" w:color="000000"/>
              <w:bottom w:val="single" w:sz="4" w:space="0" w:color="000000"/>
              <w:right w:val="nil"/>
            </w:tcBorders>
            <w:vAlign w:val="center"/>
            <w:hideMark/>
          </w:tcPr>
          <w:p w:rsidR="00ED7F17" w:rsidRDefault="00ED7F17">
            <w:pPr>
              <w:widowControl w:val="0"/>
              <w:jc w:val="center"/>
              <w:rPr>
                <w:rFonts w:ascii="Arial" w:eastAsia="Arial" w:hAnsi="Arial" w:cs="Arial"/>
                <w:sz w:val="22"/>
                <w:szCs w:val="22"/>
              </w:rPr>
            </w:pPr>
            <w:r>
              <w:rPr>
                <w:rFonts w:eastAsia="Cambria"/>
                <w:b/>
                <w:sz w:val="20"/>
                <w:szCs w:val="20"/>
                <w:lang w:bidi="hi-IN"/>
              </w:rPr>
              <w:t>2018</w:t>
            </w:r>
          </w:p>
        </w:tc>
        <w:tc>
          <w:tcPr>
            <w:tcW w:w="1635" w:type="dxa"/>
            <w:tcBorders>
              <w:top w:val="single" w:sz="4" w:space="0" w:color="000000"/>
              <w:left w:val="single" w:sz="4" w:space="0" w:color="000000"/>
              <w:bottom w:val="single" w:sz="4" w:space="0" w:color="000000"/>
              <w:right w:val="nil"/>
            </w:tcBorders>
            <w:vAlign w:val="center"/>
            <w:hideMark/>
          </w:tcPr>
          <w:p w:rsidR="00ED7F17" w:rsidRDefault="00ED7F17">
            <w:pPr>
              <w:widowControl w:val="0"/>
              <w:jc w:val="center"/>
              <w:rPr>
                <w:rFonts w:ascii="Arial" w:eastAsia="Arial" w:hAnsi="Arial" w:cs="Arial"/>
                <w:sz w:val="22"/>
                <w:szCs w:val="22"/>
              </w:rPr>
            </w:pPr>
            <w:r>
              <w:rPr>
                <w:rFonts w:eastAsia="Cambria"/>
                <w:b/>
                <w:sz w:val="20"/>
                <w:szCs w:val="20"/>
                <w:lang w:bidi="hi-IN"/>
              </w:rPr>
              <w:t>2017</w:t>
            </w:r>
          </w:p>
        </w:tc>
        <w:tc>
          <w:tcPr>
            <w:tcW w:w="1635" w:type="dxa"/>
            <w:tcBorders>
              <w:top w:val="single" w:sz="4" w:space="0" w:color="000000"/>
              <w:left w:val="single" w:sz="4" w:space="0" w:color="000000"/>
              <w:bottom w:val="single" w:sz="4" w:space="0" w:color="000000"/>
              <w:right w:val="nil"/>
            </w:tcBorders>
            <w:vAlign w:val="center"/>
            <w:hideMark/>
          </w:tcPr>
          <w:p w:rsidR="00ED7F17" w:rsidRDefault="00ED7F17">
            <w:pPr>
              <w:widowControl w:val="0"/>
              <w:jc w:val="center"/>
              <w:rPr>
                <w:rFonts w:ascii="Arial" w:eastAsia="Arial" w:hAnsi="Arial" w:cs="Arial"/>
                <w:sz w:val="22"/>
                <w:szCs w:val="22"/>
              </w:rPr>
            </w:pPr>
            <w:r>
              <w:rPr>
                <w:rFonts w:eastAsia="Cambria"/>
                <w:b/>
                <w:sz w:val="20"/>
                <w:szCs w:val="20"/>
                <w:lang w:bidi="hi-IN"/>
              </w:rPr>
              <w:t>2016</w:t>
            </w:r>
          </w:p>
        </w:tc>
        <w:tc>
          <w:tcPr>
            <w:tcW w:w="1709" w:type="dxa"/>
            <w:tcBorders>
              <w:top w:val="single" w:sz="4" w:space="0" w:color="000000"/>
              <w:left w:val="single" w:sz="4" w:space="0" w:color="000000"/>
              <w:bottom w:val="single" w:sz="4" w:space="0" w:color="000000"/>
              <w:right w:val="nil"/>
            </w:tcBorders>
            <w:vAlign w:val="center"/>
            <w:hideMark/>
          </w:tcPr>
          <w:p w:rsidR="00ED7F17" w:rsidRDefault="00ED7F17">
            <w:pPr>
              <w:widowControl w:val="0"/>
              <w:jc w:val="center"/>
              <w:rPr>
                <w:rFonts w:ascii="Arial" w:eastAsia="Arial" w:hAnsi="Arial" w:cs="Arial"/>
                <w:sz w:val="22"/>
                <w:szCs w:val="22"/>
              </w:rPr>
            </w:pPr>
            <w:r>
              <w:rPr>
                <w:rFonts w:eastAsia="Cambria"/>
                <w:b/>
                <w:sz w:val="20"/>
                <w:szCs w:val="20"/>
                <w:lang w:bidi="hi-IN"/>
              </w:rPr>
              <w:t>2015</w:t>
            </w:r>
          </w:p>
        </w:tc>
        <w:tc>
          <w:tcPr>
            <w:tcW w:w="1599" w:type="dxa"/>
            <w:tcBorders>
              <w:top w:val="single" w:sz="4" w:space="0" w:color="000000"/>
              <w:left w:val="single" w:sz="4" w:space="0" w:color="000000"/>
              <w:bottom w:val="single" w:sz="4" w:space="0" w:color="000000"/>
              <w:right w:val="single" w:sz="4" w:space="0" w:color="000000"/>
            </w:tcBorders>
            <w:vAlign w:val="center"/>
            <w:hideMark/>
          </w:tcPr>
          <w:p w:rsidR="00ED7F17" w:rsidRDefault="00ED7F17">
            <w:pPr>
              <w:widowControl w:val="0"/>
              <w:jc w:val="center"/>
              <w:rPr>
                <w:rFonts w:ascii="Arial" w:eastAsia="Arial" w:hAnsi="Arial" w:cs="Arial"/>
                <w:sz w:val="22"/>
                <w:szCs w:val="22"/>
              </w:rPr>
            </w:pPr>
            <w:r>
              <w:rPr>
                <w:rFonts w:eastAsia="Cambria"/>
                <w:b/>
                <w:sz w:val="20"/>
                <w:szCs w:val="20"/>
                <w:lang w:bidi="hi-IN"/>
              </w:rPr>
              <w:t>2014</w:t>
            </w:r>
          </w:p>
        </w:tc>
      </w:tr>
      <w:tr w:rsidR="00ED7F17" w:rsidTr="00ED7F17">
        <w:tc>
          <w:tcPr>
            <w:tcW w:w="1897" w:type="dxa"/>
            <w:tcBorders>
              <w:top w:val="single" w:sz="4" w:space="0" w:color="000000"/>
              <w:left w:val="single" w:sz="4" w:space="0" w:color="000000"/>
              <w:bottom w:val="single" w:sz="4" w:space="0" w:color="000000"/>
              <w:right w:val="nil"/>
            </w:tcBorders>
            <w:hideMark/>
          </w:tcPr>
          <w:p w:rsidR="00ED7F17" w:rsidRDefault="00ED7F17">
            <w:pPr>
              <w:widowControl w:val="0"/>
              <w:rPr>
                <w:rFonts w:ascii="Arial" w:eastAsia="Arial" w:hAnsi="Arial" w:cs="Arial"/>
                <w:sz w:val="22"/>
                <w:szCs w:val="22"/>
              </w:rPr>
            </w:pPr>
            <w:r>
              <w:rPr>
                <w:rFonts w:eastAsia="Cambria"/>
                <w:sz w:val="20"/>
                <w:szCs w:val="20"/>
                <w:lang w:bidi="hi-IN"/>
              </w:rPr>
              <w:t>Работа койки факт</w:t>
            </w:r>
          </w:p>
        </w:tc>
        <w:tc>
          <w:tcPr>
            <w:tcW w:w="1298" w:type="dxa"/>
            <w:tcBorders>
              <w:top w:val="single" w:sz="4" w:space="0" w:color="000000"/>
              <w:left w:val="single" w:sz="4" w:space="0" w:color="000000"/>
              <w:bottom w:val="single" w:sz="4" w:space="0" w:color="000000"/>
              <w:right w:val="nil"/>
            </w:tcBorders>
            <w:vAlign w:val="center"/>
            <w:hideMark/>
          </w:tcPr>
          <w:p w:rsidR="00ED7F17" w:rsidRDefault="00ED7F17">
            <w:pPr>
              <w:widowControl w:val="0"/>
              <w:jc w:val="center"/>
              <w:rPr>
                <w:rFonts w:ascii="Arial" w:eastAsia="Arial" w:hAnsi="Arial" w:cs="Arial"/>
                <w:sz w:val="22"/>
                <w:szCs w:val="22"/>
              </w:rPr>
            </w:pPr>
            <w:r>
              <w:rPr>
                <w:rFonts w:eastAsia="Cambria"/>
                <w:sz w:val="20"/>
                <w:szCs w:val="20"/>
                <w:lang w:bidi="hi-IN"/>
              </w:rPr>
              <w:t>354,1</w:t>
            </w:r>
          </w:p>
        </w:tc>
        <w:tc>
          <w:tcPr>
            <w:tcW w:w="1635" w:type="dxa"/>
            <w:tcBorders>
              <w:top w:val="single" w:sz="4" w:space="0" w:color="000000"/>
              <w:left w:val="single" w:sz="4" w:space="0" w:color="000000"/>
              <w:bottom w:val="single" w:sz="4" w:space="0" w:color="000000"/>
              <w:right w:val="nil"/>
            </w:tcBorders>
            <w:vAlign w:val="center"/>
            <w:hideMark/>
          </w:tcPr>
          <w:p w:rsidR="00ED7F17" w:rsidRDefault="00ED7F17">
            <w:pPr>
              <w:widowControl w:val="0"/>
              <w:jc w:val="center"/>
              <w:rPr>
                <w:rFonts w:ascii="Arial" w:eastAsia="Arial" w:hAnsi="Arial" w:cs="Arial"/>
                <w:sz w:val="22"/>
                <w:szCs w:val="22"/>
              </w:rPr>
            </w:pPr>
            <w:r>
              <w:rPr>
                <w:rFonts w:eastAsia="Cambria"/>
                <w:sz w:val="20"/>
                <w:szCs w:val="20"/>
                <w:lang w:bidi="hi-IN"/>
              </w:rPr>
              <w:t>351,9</w:t>
            </w:r>
          </w:p>
        </w:tc>
        <w:tc>
          <w:tcPr>
            <w:tcW w:w="1635" w:type="dxa"/>
            <w:tcBorders>
              <w:top w:val="single" w:sz="4" w:space="0" w:color="000000"/>
              <w:left w:val="single" w:sz="4" w:space="0" w:color="000000"/>
              <w:bottom w:val="single" w:sz="4" w:space="0" w:color="000000"/>
              <w:right w:val="nil"/>
            </w:tcBorders>
            <w:vAlign w:val="center"/>
            <w:hideMark/>
          </w:tcPr>
          <w:p w:rsidR="00ED7F17" w:rsidRDefault="00ED7F17">
            <w:pPr>
              <w:widowControl w:val="0"/>
              <w:jc w:val="center"/>
              <w:rPr>
                <w:rFonts w:ascii="Arial" w:eastAsia="Arial" w:hAnsi="Arial" w:cs="Arial"/>
                <w:sz w:val="22"/>
                <w:szCs w:val="22"/>
              </w:rPr>
            </w:pPr>
            <w:r>
              <w:rPr>
                <w:rFonts w:eastAsia="Cambria"/>
                <w:sz w:val="20"/>
                <w:szCs w:val="20"/>
                <w:lang w:bidi="hi-IN"/>
              </w:rPr>
              <w:t>348,5</w:t>
            </w:r>
          </w:p>
        </w:tc>
        <w:tc>
          <w:tcPr>
            <w:tcW w:w="1709" w:type="dxa"/>
            <w:tcBorders>
              <w:top w:val="single" w:sz="4" w:space="0" w:color="000000"/>
              <w:left w:val="single" w:sz="4" w:space="0" w:color="000000"/>
              <w:bottom w:val="single" w:sz="4" w:space="0" w:color="000000"/>
              <w:right w:val="nil"/>
            </w:tcBorders>
            <w:vAlign w:val="center"/>
            <w:hideMark/>
          </w:tcPr>
          <w:p w:rsidR="00ED7F17" w:rsidRDefault="00ED7F17">
            <w:pPr>
              <w:widowControl w:val="0"/>
              <w:jc w:val="center"/>
              <w:rPr>
                <w:rFonts w:ascii="Arial" w:eastAsia="Arial" w:hAnsi="Arial" w:cs="Arial"/>
                <w:sz w:val="22"/>
                <w:szCs w:val="22"/>
              </w:rPr>
            </w:pPr>
            <w:r>
              <w:rPr>
                <w:rFonts w:eastAsia="Cambria"/>
                <w:sz w:val="20"/>
                <w:szCs w:val="20"/>
                <w:lang w:bidi="hi-IN"/>
              </w:rPr>
              <w:t>321,9</w:t>
            </w:r>
          </w:p>
        </w:tc>
        <w:tc>
          <w:tcPr>
            <w:tcW w:w="1599" w:type="dxa"/>
            <w:tcBorders>
              <w:top w:val="single" w:sz="4" w:space="0" w:color="000000"/>
              <w:left w:val="single" w:sz="4" w:space="0" w:color="000000"/>
              <w:bottom w:val="single" w:sz="4" w:space="0" w:color="000000"/>
              <w:right w:val="single" w:sz="4" w:space="0" w:color="000000"/>
            </w:tcBorders>
            <w:vAlign w:val="center"/>
            <w:hideMark/>
          </w:tcPr>
          <w:p w:rsidR="00ED7F17" w:rsidRDefault="00ED7F17">
            <w:pPr>
              <w:widowControl w:val="0"/>
              <w:jc w:val="center"/>
              <w:rPr>
                <w:rFonts w:ascii="Arial" w:eastAsia="Arial" w:hAnsi="Arial" w:cs="Arial"/>
                <w:sz w:val="22"/>
                <w:szCs w:val="22"/>
              </w:rPr>
            </w:pPr>
            <w:r>
              <w:rPr>
                <w:rFonts w:eastAsia="Cambria"/>
                <w:sz w:val="20"/>
                <w:szCs w:val="20"/>
                <w:lang w:bidi="hi-IN"/>
              </w:rPr>
              <w:t>291,6</w:t>
            </w:r>
          </w:p>
        </w:tc>
      </w:tr>
      <w:tr w:rsidR="00ED7F17" w:rsidTr="00ED7F17">
        <w:tc>
          <w:tcPr>
            <w:tcW w:w="1897" w:type="dxa"/>
            <w:tcBorders>
              <w:top w:val="single" w:sz="4" w:space="0" w:color="000000"/>
              <w:left w:val="single" w:sz="4" w:space="0" w:color="000000"/>
              <w:bottom w:val="single" w:sz="4" w:space="0" w:color="000000"/>
              <w:right w:val="nil"/>
            </w:tcBorders>
            <w:hideMark/>
          </w:tcPr>
          <w:p w:rsidR="00ED7F17" w:rsidRDefault="00ED7F17">
            <w:pPr>
              <w:widowControl w:val="0"/>
              <w:rPr>
                <w:rFonts w:ascii="Arial" w:eastAsia="Arial" w:hAnsi="Arial" w:cs="Arial"/>
                <w:sz w:val="22"/>
                <w:szCs w:val="22"/>
              </w:rPr>
            </w:pPr>
            <w:r>
              <w:rPr>
                <w:rFonts w:eastAsia="Cambria"/>
                <w:sz w:val="20"/>
                <w:szCs w:val="20"/>
                <w:lang w:bidi="hi-IN"/>
              </w:rPr>
              <w:t xml:space="preserve">Поступило </w:t>
            </w:r>
          </w:p>
        </w:tc>
        <w:tc>
          <w:tcPr>
            <w:tcW w:w="1298" w:type="dxa"/>
            <w:tcBorders>
              <w:top w:val="single" w:sz="4" w:space="0" w:color="000000"/>
              <w:left w:val="single" w:sz="4" w:space="0" w:color="000000"/>
              <w:bottom w:val="single" w:sz="4" w:space="0" w:color="000000"/>
              <w:right w:val="nil"/>
            </w:tcBorders>
            <w:vAlign w:val="center"/>
            <w:hideMark/>
          </w:tcPr>
          <w:p w:rsidR="00ED7F17" w:rsidRDefault="00ED7F17">
            <w:pPr>
              <w:widowControl w:val="0"/>
              <w:jc w:val="center"/>
              <w:rPr>
                <w:rFonts w:ascii="Arial" w:eastAsia="Arial" w:hAnsi="Arial" w:cs="Arial"/>
                <w:sz w:val="22"/>
                <w:szCs w:val="22"/>
              </w:rPr>
            </w:pPr>
            <w:r>
              <w:rPr>
                <w:rFonts w:eastAsia="Cambria"/>
                <w:sz w:val="20"/>
                <w:szCs w:val="20"/>
                <w:lang w:bidi="hi-IN"/>
              </w:rPr>
              <w:t>1246</w:t>
            </w:r>
          </w:p>
        </w:tc>
        <w:tc>
          <w:tcPr>
            <w:tcW w:w="1635" w:type="dxa"/>
            <w:tcBorders>
              <w:top w:val="single" w:sz="4" w:space="0" w:color="000000"/>
              <w:left w:val="single" w:sz="4" w:space="0" w:color="000000"/>
              <w:bottom w:val="single" w:sz="4" w:space="0" w:color="000000"/>
              <w:right w:val="nil"/>
            </w:tcBorders>
            <w:vAlign w:val="center"/>
            <w:hideMark/>
          </w:tcPr>
          <w:p w:rsidR="00ED7F17" w:rsidRDefault="00ED7F17">
            <w:pPr>
              <w:widowControl w:val="0"/>
              <w:jc w:val="center"/>
              <w:rPr>
                <w:rFonts w:ascii="Arial" w:eastAsia="Arial" w:hAnsi="Arial" w:cs="Arial"/>
                <w:sz w:val="22"/>
                <w:szCs w:val="22"/>
              </w:rPr>
            </w:pPr>
            <w:r>
              <w:rPr>
                <w:rFonts w:eastAsia="Cambria"/>
                <w:sz w:val="20"/>
                <w:szCs w:val="20"/>
                <w:lang w:bidi="hi-IN"/>
              </w:rPr>
              <w:t>1175</w:t>
            </w:r>
          </w:p>
        </w:tc>
        <w:tc>
          <w:tcPr>
            <w:tcW w:w="1635" w:type="dxa"/>
            <w:tcBorders>
              <w:top w:val="single" w:sz="4" w:space="0" w:color="000000"/>
              <w:left w:val="single" w:sz="4" w:space="0" w:color="000000"/>
              <w:bottom w:val="single" w:sz="4" w:space="0" w:color="000000"/>
              <w:right w:val="nil"/>
            </w:tcBorders>
            <w:vAlign w:val="center"/>
            <w:hideMark/>
          </w:tcPr>
          <w:p w:rsidR="00ED7F17" w:rsidRDefault="00ED7F17">
            <w:pPr>
              <w:widowControl w:val="0"/>
              <w:jc w:val="center"/>
              <w:rPr>
                <w:rFonts w:ascii="Arial" w:eastAsia="Arial" w:hAnsi="Arial" w:cs="Arial"/>
                <w:sz w:val="22"/>
                <w:szCs w:val="22"/>
              </w:rPr>
            </w:pPr>
            <w:r>
              <w:rPr>
                <w:rFonts w:eastAsia="Cambria"/>
                <w:sz w:val="20"/>
                <w:szCs w:val="20"/>
                <w:lang w:bidi="hi-IN"/>
              </w:rPr>
              <w:t>1120</w:t>
            </w:r>
          </w:p>
        </w:tc>
        <w:tc>
          <w:tcPr>
            <w:tcW w:w="1709" w:type="dxa"/>
            <w:tcBorders>
              <w:top w:val="single" w:sz="4" w:space="0" w:color="000000"/>
              <w:left w:val="single" w:sz="4" w:space="0" w:color="000000"/>
              <w:bottom w:val="single" w:sz="4" w:space="0" w:color="000000"/>
              <w:right w:val="nil"/>
            </w:tcBorders>
            <w:vAlign w:val="center"/>
            <w:hideMark/>
          </w:tcPr>
          <w:p w:rsidR="00ED7F17" w:rsidRDefault="00ED7F17">
            <w:pPr>
              <w:widowControl w:val="0"/>
              <w:jc w:val="center"/>
              <w:rPr>
                <w:rFonts w:ascii="Arial" w:eastAsia="Arial" w:hAnsi="Arial" w:cs="Arial"/>
                <w:sz w:val="22"/>
                <w:szCs w:val="22"/>
              </w:rPr>
            </w:pPr>
            <w:r>
              <w:rPr>
                <w:rFonts w:eastAsia="Cambria"/>
                <w:sz w:val="20"/>
                <w:szCs w:val="20"/>
                <w:lang w:bidi="hi-IN"/>
              </w:rPr>
              <w:t>1075</w:t>
            </w:r>
          </w:p>
        </w:tc>
        <w:tc>
          <w:tcPr>
            <w:tcW w:w="1599" w:type="dxa"/>
            <w:tcBorders>
              <w:top w:val="single" w:sz="4" w:space="0" w:color="000000"/>
              <w:left w:val="single" w:sz="4" w:space="0" w:color="000000"/>
              <w:bottom w:val="single" w:sz="4" w:space="0" w:color="000000"/>
              <w:right w:val="single" w:sz="4" w:space="0" w:color="000000"/>
            </w:tcBorders>
            <w:vAlign w:val="center"/>
            <w:hideMark/>
          </w:tcPr>
          <w:p w:rsidR="00ED7F17" w:rsidRDefault="00ED7F17">
            <w:pPr>
              <w:widowControl w:val="0"/>
              <w:jc w:val="center"/>
              <w:rPr>
                <w:rFonts w:ascii="Arial" w:eastAsia="Arial" w:hAnsi="Arial" w:cs="Arial"/>
                <w:sz w:val="22"/>
                <w:szCs w:val="22"/>
              </w:rPr>
            </w:pPr>
            <w:r>
              <w:rPr>
                <w:rFonts w:eastAsia="Cambria"/>
                <w:sz w:val="20"/>
                <w:szCs w:val="20"/>
                <w:lang w:bidi="hi-IN"/>
              </w:rPr>
              <w:t>883</w:t>
            </w:r>
          </w:p>
        </w:tc>
      </w:tr>
      <w:tr w:rsidR="00ED7F17" w:rsidTr="00ED7F17">
        <w:tc>
          <w:tcPr>
            <w:tcW w:w="1897" w:type="dxa"/>
            <w:tcBorders>
              <w:top w:val="single" w:sz="4" w:space="0" w:color="000000"/>
              <w:left w:val="single" w:sz="4" w:space="0" w:color="000000"/>
              <w:bottom w:val="single" w:sz="4" w:space="0" w:color="000000"/>
              <w:right w:val="nil"/>
            </w:tcBorders>
            <w:hideMark/>
          </w:tcPr>
          <w:p w:rsidR="00ED7F17" w:rsidRDefault="00ED7F17">
            <w:pPr>
              <w:widowControl w:val="0"/>
              <w:rPr>
                <w:rFonts w:ascii="Arial" w:eastAsia="Arial" w:hAnsi="Arial" w:cs="Arial"/>
                <w:sz w:val="22"/>
                <w:szCs w:val="22"/>
              </w:rPr>
            </w:pPr>
            <w:r>
              <w:rPr>
                <w:rFonts w:eastAsia="Cambria"/>
                <w:sz w:val="20"/>
                <w:szCs w:val="20"/>
                <w:lang w:bidi="hi-IN"/>
              </w:rPr>
              <w:t>Выбыло</w:t>
            </w:r>
          </w:p>
        </w:tc>
        <w:tc>
          <w:tcPr>
            <w:tcW w:w="1298" w:type="dxa"/>
            <w:tcBorders>
              <w:top w:val="single" w:sz="4" w:space="0" w:color="000000"/>
              <w:left w:val="single" w:sz="4" w:space="0" w:color="000000"/>
              <w:bottom w:val="single" w:sz="4" w:space="0" w:color="000000"/>
              <w:right w:val="nil"/>
            </w:tcBorders>
            <w:vAlign w:val="center"/>
            <w:hideMark/>
          </w:tcPr>
          <w:p w:rsidR="00ED7F17" w:rsidRDefault="00ED7F17">
            <w:pPr>
              <w:widowControl w:val="0"/>
              <w:jc w:val="center"/>
              <w:rPr>
                <w:rFonts w:ascii="Arial" w:eastAsia="Arial" w:hAnsi="Arial" w:cs="Arial"/>
                <w:sz w:val="22"/>
                <w:szCs w:val="22"/>
              </w:rPr>
            </w:pPr>
            <w:r>
              <w:rPr>
                <w:rFonts w:eastAsia="Cambria"/>
                <w:sz w:val="20"/>
                <w:szCs w:val="20"/>
                <w:lang w:bidi="hi-IN"/>
              </w:rPr>
              <w:t>1241</w:t>
            </w:r>
          </w:p>
        </w:tc>
        <w:tc>
          <w:tcPr>
            <w:tcW w:w="1635" w:type="dxa"/>
            <w:tcBorders>
              <w:top w:val="single" w:sz="4" w:space="0" w:color="000000"/>
              <w:left w:val="single" w:sz="4" w:space="0" w:color="000000"/>
              <w:bottom w:val="single" w:sz="4" w:space="0" w:color="000000"/>
              <w:right w:val="nil"/>
            </w:tcBorders>
            <w:vAlign w:val="center"/>
            <w:hideMark/>
          </w:tcPr>
          <w:p w:rsidR="00ED7F17" w:rsidRDefault="00ED7F17">
            <w:pPr>
              <w:widowControl w:val="0"/>
              <w:jc w:val="center"/>
              <w:rPr>
                <w:rFonts w:ascii="Arial" w:eastAsia="Arial" w:hAnsi="Arial" w:cs="Arial"/>
                <w:sz w:val="22"/>
                <w:szCs w:val="22"/>
              </w:rPr>
            </w:pPr>
            <w:r>
              <w:rPr>
                <w:rFonts w:eastAsia="Cambria"/>
                <w:sz w:val="20"/>
                <w:szCs w:val="20"/>
                <w:lang w:bidi="hi-IN"/>
              </w:rPr>
              <w:t>1139</w:t>
            </w:r>
          </w:p>
        </w:tc>
        <w:tc>
          <w:tcPr>
            <w:tcW w:w="1635" w:type="dxa"/>
            <w:tcBorders>
              <w:top w:val="single" w:sz="4" w:space="0" w:color="000000"/>
              <w:left w:val="single" w:sz="4" w:space="0" w:color="000000"/>
              <w:bottom w:val="single" w:sz="4" w:space="0" w:color="000000"/>
              <w:right w:val="nil"/>
            </w:tcBorders>
            <w:vAlign w:val="center"/>
            <w:hideMark/>
          </w:tcPr>
          <w:p w:rsidR="00ED7F17" w:rsidRDefault="00ED7F17">
            <w:pPr>
              <w:widowControl w:val="0"/>
              <w:jc w:val="center"/>
              <w:rPr>
                <w:rFonts w:ascii="Arial" w:eastAsia="Arial" w:hAnsi="Arial" w:cs="Arial"/>
                <w:sz w:val="22"/>
                <w:szCs w:val="22"/>
              </w:rPr>
            </w:pPr>
            <w:r>
              <w:rPr>
                <w:rFonts w:eastAsia="Cambria"/>
                <w:sz w:val="20"/>
                <w:szCs w:val="20"/>
                <w:lang w:bidi="hi-IN"/>
              </w:rPr>
              <w:t>1100</w:t>
            </w:r>
          </w:p>
        </w:tc>
        <w:tc>
          <w:tcPr>
            <w:tcW w:w="1709" w:type="dxa"/>
            <w:tcBorders>
              <w:top w:val="single" w:sz="4" w:space="0" w:color="000000"/>
              <w:left w:val="single" w:sz="4" w:space="0" w:color="000000"/>
              <w:bottom w:val="single" w:sz="4" w:space="0" w:color="000000"/>
              <w:right w:val="nil"/>
            </w:tcBorders>
            <w:vAlign w:val="center"/>
            <w:hideMark/>
          </w:tcPr>
          <w:p w:rsidR="00ED7F17" w:rsidRDefault="00ED7F17">
            <w:pPr>
              <w:widowControl w:val="0"/>
              <w:jc w:val="center"/>
              <w:rPr>
                <w:rFonts w:ascii="Arial" w:eastAsia="Arial" w:hAnsi="Arial" w:cs="Arial"/>
                <w:sz w:val="22"/>
                <w:szCs w:val="22"/>
              </w:rPr>
            </w:pPr>
            <w:r>
              <w:rPr>
                <w:rFonts w:eastAsia="Cambria"/>
                <w:sz w:val="20"/>
                <w:szCs w:val="20"/>
                <w:lang w:bidi="hi-IN"/>
              </w:rPr>
              <w:t>1059</w:t>
            </w:r>
          </w:p>
        </w:tc>
        <w:tc>
          <w:tcPr>
            <w:tcW w:w="1599" w:type="dxa"/>
            <w:tcBorders>
              <w:top w:val="single" w:sz="4" w:space="0" w:color="000000"/>
              <w:left w:val="single" w:sz="4" w:space="0" w:color="000000"/>
              <w:bottom w:val="single" w:sz="4" w:space="0" w:color="000000"/>
              <w:right w:val="single" w:sz="4" w:space="0" w:color="000000"/>
            </w:tcBorders>
            <w:vAlign w:val="center"/>
            <w:hideMark/>
          </w:tcPr>
          <w:p w:rsidR="00ED7F17" w:rsidRDefault="00ED7F17">
            <w:pPr>
              <w:widowControl w:val="0"/>
              <w:jc w:val="center"/>
              <w:rPr>
                <w:rFonts w:ascii="Arial" w:eastAsia="Arial" w:hAnsi="Arial" w:cs="Arial"/>
                <w:sz w:val="22"/>
                <w:szCs w:val="22"/>
              </w:rPr>
            </w:pPr>
            <w:r>
              <w:rPr>
                <w:rFonts w:eastAsia="Cambria"/>
                <w:sz w:val="20"/>
                <w:szCs w:val="20"/>
                <w:lang w:bidi="hi-IN"/>
              </w:rPr>
              <w:t>755</w:t>
            </w:r>
          </w:p>
        </w:tc>
      </w:tr>
      <w:tr w:rsidR="00ED7F17" w:rsidTr="00ED7F17">
        <w:tc>
          <w:tcPr>
            <w:tcW w:w="1897" w:type="dxa"/>
            <w:tcBorders>
              <w:top w:val="single" w:sz="4" w:space="0" w:color="000000"/>
              <w:left w:val="single" w:sz="4" w:space="0" w:color="000000"/>
              <w:bottom w:val="single" w:sz="4" w:space="0" w:color="000000"/>
              <w:right w:val="nil"/>
            </w:tcBorders>
            <w:hideMark/>
          </w:tcPr>
          <w:p w:rsidR="00ED7F17" w:rsidRDefault="00ED7F17">
            <w:pPr>
              <w:widowControl w:val="0"/>
              <w:rPr>
                <w:rFonts w:ascii="Arial" w:eastAsia="Arial" w:hAnsi="Arial" w:cs="Arial"/>
                <w:sz w:val="22"/>
                <w:szCs w:val="22"/>
              </w:rPr>
            </w:pPr>
            <w:r>
              <w:rPr>
                <w:rFonts w:eastAsia="Cambria"/>
                <w:sz w:val="20"/>
                <w:szCs w:val="20"/>
                <w:lang w:bidi="hi-IN"/>
              </w:rPr>
              <w:t>Умерло</w:t>
            </w:r>
          </w:p>
        </w:tc>
        <w:tc>
          <w:tcPr>
            <w:tcW w:w="1298" w:type="dxa"/>
            <w:tcBorders>
              <w:top w:val="single" w:sz="4" w:space="0" w:color="000000"/>
              <w:left w:val="single" w:sz="4" w:space="0" w:color="000000"/>
              <w:bottom w:val="single" w:sz="4" w:space="0" w:color="000000"/>
              <w:right w:val="nil"/>
            </w:tcBorders>
            <w:vAlign w:val="center"/>
            <w:hideMark/>
          </w:tcPr>
          <w:p w:rsidR="00ED7F17" w:rsidRDefault="00ED7F17">
            <w:pPr>
              <w:widowControl w:val="0"/>
              <w:jc w:val="center"/>
              <w:rPr>
                <w:rFonts w:ascii="Arial" w:eastAsia="Arial" w:hAnsi="Arial" w:cs="Arial"/>
                <w:sz w:val="22"/>
                <w:szCs w:val="22"/>
              </w:rPr>
            </w:pPr>
            <w:r>
              <w:rPr>
                <w:rFonts w:eastAsia="Cambria"/>
                <w:sz w:val="20"/>
                <w:szCs w:val="20"/>
                <w:lang w:bidi="hi-IN"/>
              </w:rPr>
              <w:t>147</w:t>
            </w:r>
          </w:p>
        </w:tc>
        <w:tc>
          <w:tcPr>
            <w:tcW w:w="1635" w:type="dxa"/>
            <w:tcBorders>
              <w:top w:val="single" w:sz="4" w:space="0" w:color="000000"/>
              <w:left w:val="single" w:sz="4" w:space="0" w:color="000000"/>
              <w:bottom w:val="single" w:sz="4" w:space="0" w:color="000000"/>
              <w:right w:val="nil"/>
            </w:tcBorders>
            <w:vAlign w:val="center"/>
            <w:hideMark/>
          </w:tcPr>
          <w:p w:rsidR="00ED7F17" w:rsidRDefault="00ED7F17">
            <w:pPr>
              <w:widowControl w:val="0"/>
              <w:jc w:val="center"/>
              <w:rPr>
                <w:rFonts w:ascii="Arial" w:eastAsia="Arial" w:hAnsi="Arial" w:cs="Arial"/>
                <w:sz w:val="22"/>
                <w:szCs w:val="22"/>
              </w:rPr>
            </w:pPr>
            <w:r>
              <w:rPr>
                <w:rFonts w:eastAsia="Cambria"/>
                <w:sz w:val="20"/>
                <w:szCs w:val="20"/>
                <w:lang w:bidi="hi-IN"/>
              </w:rPr>
              <w:t>126</w:t>
            </w:r>
          </w:p>
        </w:tc>
        <w:tc>
          <w:tcPr>
            <w:tcW w:w="1635" w:type="dxa"/>
            <w:tcBorders>
              <w:top w:val="single" w:sz="4" w:space="0" w:color="000000"/>
              <w:left w:val="single" w:sz="4" w:space="0" w:color="000000"/>
              <w:bottom w:val="single" w:sz="4" w:space="0" w:color="000000"/>
              <w:right w:val="nil"/>
            </w:tcBorders>
            <w:vAlign w:val="center"/>
            <w:hideMark/>
          </w:tcPr>
          <w:p w:rsidR="00ED7F17" w:rsidRDefault="00ED7F17">
            <w:pPr>
              <w:widowControl w:val="0"/>
              <w:jc w:val="center"/>
              <w:rPr>
                <w:rFonts w:ascii="Arial" w:eastAsia="Arial" w:hAnsi="Arial" w:cs="Arial"/>
                <w:sz w:val="22"/>
                <w:szCs w:val="22"/>
              </w:rPr>
            </w:pPr>
            <w:r>
              <w:rPr>
                <w:rFonts w:eastAsia="Cambria"/>
                <w:sz w:val="20"/>
                <w:szCs w:val="20"/>
                <w:lang w:bidi="hi-IN"/>
              </w:rPr>
              <w:t>135</w:t>
            </w:r>
          </w:p>
        </w:tc>
        <w:tc>
          <w:tcPr>
            <w:tcW w:w="1709" w:type="dxa"/>
            <w:tcBorders>
              <w:top w:val="single" w:sz="4" w:space="0" w:color="000000"/>
              <w:left w:val="single" w:sz="4" w:space="0" w:color="000000"/>
              <w:bottom w:val="single" w:sz="4" w:space="0" w:color="000000"/>
              <w:right w:val="nil"/>
            </w:tcBorders>
            <w:vAlign w:val="center"/>
            <w:hideMark/>
          </w:tcPr>
          <w:p w:rsidR="00ED7F17" w:rsidRDefault="00ED7F17">
            <w:pPr>
              <w:widowControl w:val="0"/>
              <w:jc w:val="center"/>
              <w:rPr>
                <w:rFonts w:ascii="Arial" w:eastAsia="Arial" w:hAnsi="Arial" w:cs="Arial"/>
                <w:sz w:val="22"/>
                <w:szCs w:val="22"/>
              </w:rPr>
            </w:pPr>
            <w:r>
              <w:rPr>
                <w:rFonts w:eastAsia="Cambria"/>
                <w:sz w:val="20"/>
                <w:szCs w:val="20"/>
                <w:lang w:bidi="hi-IN"/>
              </w:rPr>
              <w:t>141</w:t>
            </w:r>
          </w:p>
        </w:tc>
        <w:tc>
          <w:tcPr>
            <w:tcW w:w="1599" w:type="dxa"/>
            <w:tcBorders>
              <w:top w:val="single" w:sz="4" w:space="0" w:color="000000"/>
              <w:left w:val="single" w:sz="4" w:space="0" w:color="000000"/>
              <w:bottom w:val="single" w:sz="4" w:space="0" w:color="000000"/>
              <w:right w:val="single" w:sz="4" w:space="0" w:color="000000"/>
            </w:tcBorders>
            <w:vAlign w:val="center"/>
            <w:hideMark/>
          </w:tcPr>
          <w:p w:rsidR="00ED7F17" w:rsidRDefault="00ED7F17">
            <w:pPr>
              <w:widowControl w:val="0"/>
              <w:jc w:val="center"/>
              <w:rPr>
                <w:rFonts w:ascii="Arial" w:eastAsia="Arial" w:hAnsi="Arial" w:cs="Arial"/>
                <w:sz w:val="22"/>
                <w:szCs w:val="22"/>
              </w:rPr>
            </w:pPr>
            <w:r>
              <w:rPr>
                <w:rFonts w:eastAsia="Cambria"/>
                <w:sz w:val="20"/>
                <w:szCs w:val="20"/>
                <w:lang w:bidi="hi-IN"/>
              </w:rPr>
              <w:t>106</w:t>
            </w:r>
          </w:p>
        </w:tc>
      </w:tr>
      <w:tr w:rsidR="00ED7F17" w:rsidTr="00ED7F17">
        <w:tc>
          <w:tcPr>
            <w:tcW w:w="1897" w:type="dxa"/>
            <w:tcBorders>
              <w:top w:val="single" w:sz="4" w:space="0" w:color="000000"/>
              <w:left w:val="single" w:sz="4" w:space="0" w:color="000000"/>
              <w:bottom w:val="single" w:sz="4" w:space="0" w:color="000000"/>
              <w:right w:val="nil"/>
            </w:tcBorders>
            <w:hideMark/>
          </w:tcPr>
          <w:p w:rsidR="00ED7F17" w:rsidRDefault="00ED7F17">
            <w:pPr>
              <w:widowControl w:val="0"/>
              <w:rPr>
                <w:rFonts w:ascii="Arial" w:eastAsia="Arial" w:hAnsi="Arial" w:cs="Arial"/>
                <w:sz w:val="22"/>
                <w:szCs w:val="22"/>
              </w:rPr>
            </w:pPr>
            <w:r>
              <w:rPr>
                <w:rFonts w:eastAsia="Cambria"/>
                <w:sz w:val="20"/>
                <w:szCs w:val="20"/>
                <w:lang w:bidi="hi-IN"/>
              </w:rPr>
              <w:t>Летальность</w:t>
            </w:r>
          </w:p>
        </w:tc>
        <w:tc>
          <w:tcPr>
            <w:tcW w:w="1298" w:type="dxa"/>
            <w:tcBorders>
              <w:top w:val="single" w:sz="4" w:space="0" w:color="000000"/>
              <w:left w:val="single" w:sz="4" w:space="0" w:color="000000"/>
              <w:bottom w:val="single" w:sz="4" w:space="0" w:color="000000"/>
              <w:right w:val="nil"/>
            </w:tcBorders>
            <w:vAlign w:val="center"/>
            <w:hideMark/>
          </w:tcPr>
          <w:p w:rsidR="00ED7F17" w:rsidRDefault="00ED7F17">
            <w:pPr>
              <w:widowControl w:val="0"/>
              <w:jc w:val="center"/>
              <w:rPr>
                <w:rFonts w:ascii="Arial" w:eastAsia="Arial" w:hAnsi="Arial" w:cs="Arial"/>
                <w:sz w:val="22"/>
                <w:szCs w:val="22"/>
              </w:rPr>
            </w:pPr>
            <w:r>
              <w:rPr>
                <w:rFonts w:eastAsia="Cambria"/>
                <w:sz w:val="20"/>
                <w:szCs w:val="20"/>
                <w:lang w:bidi="hi-IN"/>
              </w:rPr>
              <w:t>11,8</w:t>
            </w:r>
          </w:p>
        </w:tc>
        <w:tc>
          <w:tcPr>
            <w:tcW w:w="1635" w:type="dxa"/>
            <w:tcBorders>
              <w:top w:val="single" w:sz="4" w:space="0" w:color="000000"/>
              <w:left w:val="single" w:sz="4" w:space="0" w:color="000000"/>
              <w:bottom w:val="single" w:sz="4" w:space="0" w:color="000000"/>
              <w:right w:val="nil"/>
            </w:tcBorders>
            <w:vAlign w:val="center"/>
            <w:hideMark/>
          </w:tcPr>
          <w:p w:rsidR="00ED7F17" w:rsidRDefault="00ED7F17">
            <w:pPr>
              <w:widowControl w:val="0"/>
              <w:jc w:val="center"/>
              <w:rPr>
                <w:rFonts w:ascii="Arial" w:eastAsia="Arial" w:hAnsi="Arial" w:cs="Arial"/>
                <w:sz w:val="22"/>
                <w:szCs w:val="22"/>
              </w:rPr>
            </w:pPr>
            <w:r>
              <w:rPr>
                <w:rFonts w:eastAsia="Cambria"/>
                <w:sz w:val="20"/>
                <w:szCs w:val="20"/>
                <w:lang w:bidi="hi-IN"/>
              </w:rPr>
              <w:t>11,1</w:t>
            </w:r>
          </w:p>
        </w:tc>
        <w:tc>
          <w:tcPr>
            <w:tcW w:w="1635" w:type="dxa"/>
            <w:tcBorders>
              <w:top w:val="single" w:sz="4" w:space="0" w:color="000000"/>
              <w:left w:val="single" w:sz="4" w:space="0" w:color="000000"/>
              <w:bottom w:val="single" w:sz="4" w:space="0" w:color="000000"/>
              <w:right w:val="nil"/>
            </w:tcBorders>
            <w:vAlign w:val="center"/>
            <w:hideMark/>
          </w:tcPr>
          <w:p w:rsidR="00ED7F17" w:rsidRDefault="00ED7F17">
            <w:pPr>
              <w:widowControl w:val="0"/>
              <w:jc w:val="center"/>
              <w:rPr>
                <w:rFonts w:ascii="Arial" w:eastAsia="Arial" w:hAnsi="Arial" w:cs="Arial"/>
                <w:sz w:val="22"/>
                <w:szCs w:val="22"/>
              </w:rPr>
            </w:pPr>
            <w:r>
              <w:rPr>
                <w:rFonts w:eastAsia="Cambria"/>
                <w:sz w:val="20"/>
                <w:szCs w:val="20"/>
                <w:lang w:bidi="hi-IN"/>
              </w:rPr>
              <w:t>12,3</w:t>
            </w:r>
          </w:p>
        </w:tc>
        <w:tc>
          <w:tcPr>
            <w:tcW w:w="1709" w:type="dxa"/>
            <w:tcBorders>
              <w:top w:val="single" w:sz="4" w:space="0" w:color="000000"/>
              <w:left w:val="single" w:sz="4" w:space="0" w:color="000000"/>
              <w:bottom w:val="single" w:sz="4" w:space="0" w:color="000000"/>
              <w:right w:val="nil"/>
            </w:tcBorders>
            <w:vAlign w:val="center"/>
            <w:hideMark/>
          </w:tcPr>
          <w:p w:rsidR="00ED7F17" w:rsidRDefault="00ED7F17">
            <w:pPr>
              <w:widowControl w:val="0"/>
              <w:jc w:val="center"/>
              <w:rPr>
                <w:rFonts w:ascii="Arial" w:eastAsia="Arial" w:hAnsi="Arial" w:cs="Arial"/>
                <w:sz w:val="22"/>
                <w:szCs w:val="22"/>
              </w:rPr>
            </w:pPr>
            <w:r>
              <w:rPr>
                <w:rFonts w:eastAsia="Cambria"/>
                <w:sz w:val="20"/>
                <w:szCs w:val="20"/>
                <w:lang w:bidi="hi-IN"/>
              </w:rPr>
              <w:t>13,3</w:t>
            </w:r>
          </w:p>
        </w:tc>
        <w:tc>
          <w:tcPr>
            <w:tcW w:w="1599" w:type="dxa"/>
            <w:tcBorders>
              <w:top w:val="single" w:sz="4" w:space="0" w:color="000000"/>
              <w:left w:val="single" w:sz="4" w:space="0" w:color="000000"/>
              <w:bottom w:val="single" w:sz="4" w:space="0" w:color="000000"/>
              <w:right w:val="single" w:sz="4" w:space="0" w:color="000000"/>
            </w:tcBorders>
            <w:vAlign w:val="center"/>
            <w:hideMark/>
          </w:tcPr>
          <w:p w:rsidR="00ED7F17" w:rsidRDefault="00ED7F17">
            <w:pPr>
              <w:widowControl w:val="0"/>
              <w:jc w:val="center"/>
              <w:rPr>
                <w:rFonts w:ascii="Arial" w:eastAsia="Arial" w:hAnsi="Arial" w:cs="Arial"/>
                <w:sz w:val="22"/>
                <w:szCs w:val="22"/>
              </w:rPr>
            </w:pPr>
            <w:r>
              <w:rPr>
                <w:rFonts w:eastAsia="Cambria"/>
                <w:sz w:val="20"/>
                <w:szCs w:val="20"/>
                <w:lang w:bidi="hi-IN"/>
              </w:rPr>
              <w:t>12,3</w:t>
            </w:r>
          </w:p>
        </w:tc>
      </w:tr>
      <w:tr w:rsidR="00ED7F17" w:rsidTr="00ED7F17">
        <w:tc>
          <w:tcPr>
            <w:tcW w:w="1897" w:type="dxa"/>
            <w:tcBorders>
              <w:top w:val="single" w:sz="4" w:space="0" w:color="000000"/>
              <w:left w:val="single" w:sz="4" w:space="0" w:color="000000"/>
              <w:bottom w:val="single" w:sz="4" w:space="0" w:color="000000"/>
              <w:right w:val="nil"/>
            </w:tcBorders>
            <w:hideMark/>
          </w:tcPr>
          <w:p w:rsidR="00ED7F17" w:rsidRDefault="00ED7F17">
            <w:pPr>
              <w:widowControl w:val="0"/>
              <w:rPr>
                <w:rFonts w:ascii="Arial" w:eastAsia="Arial" w:hAnsi="Arial" w:cs="Arial"/>
                <w:sz w:val="22"/>
                <w:szCs w:val="22"/>
              </w:rPr>
            </w:pPr>
            <w:r>
              <w:rPr>
                <w:rFonts w:eastAsia="Cambria"/>
                <w:sz w:val="20"/>
                <w:szCs w:val="20"/>
                <w:lang w:bidi="hi-IN"/>
              </w:rPr>
              <w:t>ТЛТ%</w:t>
            </w:r>
          </w:p>
        </w:tc>
        <w:tc>
          <w:tcPr>
            <w:tcW w:w="1298" w:type="dxa"/>
            <w:tcBorders>
              <w:top w:val="single" w:sz="4" w:space="0" w:color="000000"/>
              <w:left w:val="single" w:sz="4" w:space="0" w:color="000000"/>
              <w:bottom w:val="single" w:sz="4" w:space="0" w:color="000000"/>
              <w:right w:val="nil"/>
            </w:tcBorders>
            <w:vAlign w:val="center"/>
            <w:hideMark/>
          </w:tcPr>
          <w:p w:rsidR="00ED7F17" w:rsidRDefault="00ED7F17">
            <w:pPr>
              <w:widowControl w:val="0"/>
              <w:jc w:val="center"/>
              <w:rPr>
                <w:rFonts w:ascii="Arial" w:eastAsia="Arial" w:hAnsi="Arial" w:cs="Arial"/>
                <w:sz w:val="22"/>
                <w:szCs w:val="22"/>
              </w:rPr>
            </w:pPr>
            <w:r>
              <w:rPr>
                <w:rFonts w:eastAsia="Cambria"/>
                <w:sz w:val="20"/>
                <w:szCs w:val="20"/>
                <w:lang w:bidi="hi-IN"/>
              </w:rPr>
              <w:t>3,9</w:t>
            </w:r>
          </w:p>
        </w:tc>
        <w:tc>
          <w:tcPr>
            <w:tcW w:w="1635" w:type="dxa"/>
            <w:tcBorders>
              <w:top w:val="single" w:sz="4" w:space="0" w:color="000000"/>
              <w:left w:val="single" w:sz="4" w:space="0" w:color="000000"/>
              <w:bottom w:val="single" w:sz="4" w:space="0" w:color="000000"/>
              <w:right w:val="nil"/>
            </w:tcBorders>
            <w:vAlign w:val="center"/>
            <w:hideMark/>
          </w:tcPr>
          <w:p w:rsidR="00ED7F17" w:rsidRDefault="00ED7F17">
            <w:pPr>
              <w:widowControl w:val="0"/>
              <w:jc w:val="center"/>
              <w:rPr>
                <w:rFonts w:ascii="Arial" w:eastAsia="Arial" w:hAnsi="Arial" w:cs="Arial"/>
                <w:sz w:val="22"/>
                <w:szCs w:val="22"/>
              </w:rPr>
            </w:pPr>
            <w:r>
              <w:rPr>
                <w:rFonts w:eastAsia="Cambria"/>
                <w:sz w:val="20"/>
                <w:szCs w:val="20"/>
                <w:lang w:bidi="hi-IN"/>
              </w:rPr>
              <w:t>4,2</w:t>
            </w:r>
          </w:p>
        </w:tc>
        <w:tc>
          <w:tcPr>
            <w:tcW w:w="1635" w:type="dxa"/>
            <w:tcBorders>
              <w:top w:val="single" w:sz="4" w:space="0" w:color="000000"/>
              <w:left w:val="single" w:sz="4" w:space="0" w:color="000000"/>
              <w:bottom w:val="single" w:sz="4" w:space="0" w:color="000000"/>
              <w:right w:val="nil"/>
            </w:tcBorders>
            <w:vAlign w:val="center"/>
            <w:hideMark/>
          </w:tcPr>
          <w:p w:rsidR="00ED7F17" w:rsidRDefault="00ED7F17">
            <w:pPr>
              <w:widowControl w:val="0"/>
              <w:jc w:val="center"/>
              <w:rPr>
                <w:rFonts w:ascii="Arial" w:eastAsia="Arial" w:hAnsi="Arial" w:cs="Arial"/>
                <w:sz w:val="22"/>
                <w:szCs w:val="22"/>
              </w:rPr>
            </w:pPr>
            <w:r>
              <w:rPr>
                <w:rFonts w:eastAsia="Cambria"/>
                <w:sz w:val="20"/>
                <w:szCs w:val="20"/>
                <w:lang w:bidi="hi-IN"/>
              </w:rPr>
              <w:t>4,1</w:t>
            </w:r>
          </w:p>
        </w:tc>
        <w:tc>
          <w:tcPr>
            <w:tcW w:w="1709" w:type="dxa"/>
            <w:tcBorders>
              <w:top w:val="single" w:sz="4" w:space="0" w:color="000000"/>
              <w:left w:val="single" w:sz="4" w:space="0" w:color="000000"/>
              <w:bottom w:val="single" w:sz="4" w:space="0" w:color="000000"/>
              <w:right w:val="nil"/>
            </w:tcBorders>
            <w:vAlign w:val="center"/>
            <w:hideMark/>
          </w:tcPr>
          <w:p w:rsidR="00ED7F17" w:rsidRDefault="00ED7F17">
            <w:pPr>
              <w:widowControl w:val="0"/>
              <w:jc w:val="center"/>
              <w:rPr>
                <w:rFonts w:ascii="Arial" w:eastAsia="Arial" w:hAnsi="Arial" w:cs="Arial"/>
                <w:sz w:val="22"/>
                <w:szCs w:val="22"/>
              </w:rPr>
            </w:pPr>
            <w:r>
              <w:rPr>
                <w:rFonts w:eastAsia="Cambria"/>
                <w:sz w:val="20"/>
                <w:szCs w:val="20"/>
                <w:lang w:bidi="hi-IN"/>
              </w:rPr>
              <w:t>3</w:t>
            </w:r>
          </w:p>
        </w:tc>
        <w:tc>
          <w:tcPr>
            <w:tcW w:w="1599" w:type="dxa"/>
            <w:tcBorders>
              <w:top w:val="single" w:sz="4" w:space="0" w:color="000000"/>
              <w:left w:val="single" w:sz="4" w:space="0" w:color="000000"/>
              <w:bottom w:val="single" w:sz="4" w:space="0" w:color="000000"/>
              <w:right w:val="single" w:sz="4" w:space="0" w:color="000000"/>
            </w:tcBorders>
            <w:vAlign w:val="center"/>
            <w:hideMark/>
          </w:tcPr>
          <w:p w:rsidR="00ED7F17" w:rsidRDefault="00ED7F17">
            <w:pPr>
              <w:widowControl w:val="0"/>
              <w:jc w:val="center"/>
              <w:rPr>
                <w:rFonts w:ascii="Arial" w:eastAsia="Arial" w:hAnsi="Arial" w:cs="Arial"/>
                <w:sz w:val="22"/>
                <w:szCs w:val="22"/>
              </w:rPr>
            </w:pPr>
            <w:r>
              <w:rPr>
                <w:rFonts w:eastAsia="Cambria"/>
                <w:sz w:val="20"/>
                <w:szCs w:val="20"/>
                <w:lang w:bidi="hi-IN"/>
              </w:rPr>
              <w:t>0,1</w:t>
            </w:r>
          </w:p>
        </w:tc>
      </w:tr>
    </w:tbl>
    <w:p w:rsidR="00ED7F17" w:rsidRDefault="00ED7F17" w:rsidP="00ED7F17">
      <w:pPr>
        <w:widowControl w:val="0"/>
        <w:rPr>
          <w:rFonts w:eastAsia="Cambria"/>
          <w:lang w:bidi="hi-IN"/>
        </w:rPr>
      </w:pPr>
    </w:p>
    <w:p w:rsidR="00ED7F17" w:rsidRDefault="00ED7F17" w:rsidP="00ED7F17">
      <w:pPr>
        <w:ind w:firstLine="680"/>
        <w:jc w:val="both"/>
        <w:rPr>
          <w:rFonts w:ascii="Arial" w:eastAsia="Arial" w:hAnsi="Arial" w:cs="Arial"/>
          <w:sz w:val="22"/>
          <w:szCs w:val="22"/>
        </w:rPr>
      </w:pPr>
      <w:r>
        <w:t>Таким образом, количество пациентов с ОНМК, пролеченных в РСЦ увеличивается, при этом летальность остается на невысоком уровне. Структура летальности в отделении неврологии практически не изменилась в сравнении с 2017 годом процент летальности несколько повысился с 11,1 до 11,8%, но остается низким: практически в 2 раза ниже целевого значения (20%).</w:t>
      </w:r>
    </w:p>
    <w:p w:rsidR="00ED7F17" w:rsidRDefault="00ED7F17" w:rsidP="00ED7F17">
      <w:pPr>
        <w:ind w:firstLine="680"/>
        <w:jc w:val="both"/>
      </w:pPr>
      <w:r>
        <w:t>Умершие досуточно в отделении неврологии– это пациенты, доставленные  с нарушением сознания, обширным поражением головного мозга, имеющие декомпенсированную коморбидную патологию.  В отделении неврологии в 2018 году  произошло снижение досуточной летальности с 5,3% до 1,7%.</w:t>
      </w:r>
    </w:p>
    <w:p w:rsidR="00ED7F17" w:rsidRDefault="00ED7F17" w:rsidP="00ED7F17">
      <w:pPr>
        <w:widowControl w:val="0"/>
        <w:tabs>
          <w:tab w:val="left" w:pos="1134"/>
        </w:tabs>
        <w:suppressAutoHyphens w:val="0"/>
        <w:ind w:firstLine="709"/>
        <w:jc w:val="both"/>
      </w:pPr>
      <w:r>
        <w:rPr>
          <w:rFonts w:eastAsia="SimSun"/>
          <w:lang w:bidi="hi-IN"/>
        </w:rPr>
        <w:t>Количество патологоанатомических исследований остается высоким, за 2018 год – 91,2%. В 100% случаев врачи отделения присутствуют на вскрытии. Процент расхождений диагнозов низкий – 3,7% по итогам 2018 года. Расхождения патологоанатомического и клинического диагнозов – это пациенты с кратковременным пребыванием в стационаре, имеющие тяжелую декомпенсированную соматическую патологию.</w:t>
      </w:r>
    </w:p>
    <w:p w:rsidR="00ED7F17" w:rsidRDefault="00ED7F17" w:rsidP="00ED7F17">
      <w:pPr>
        <w:ind w:firstLine="709"/>
        <w:jc w:val="both"/>
      </w:pPr>
      <w:r>
        <w:t>Не достижение целевых показателей по ТЛТ в РСЦ связано с поздней обращаемостью пациентов за медицинской помощью (более 70% пациентов поступают в отделение позже 6 часов от начала заболевания), наличие удаленных районов, прикреплённых к РСЦ (Черноярский, Лиманский, Харабалинский и Енотаевский районы) При целевом показателе ТЛТ - 5% фактический показатель за анализируемый период составил 3,8%.</w:t>
      </w:r>
    </w:p>
    <w:p w:rsidR="00ED7F17" w:rsidRDefault="00ED7F17" w:rsidP="00ED7F17">
      <w:pPr>
        <w:ind w:firstLine="709"/>
        <w:jc w:val="both"/>
      </w:pPr>
      <w:r>
        <w:t xml:space="preserve">Количество ишемических инсультов в 2018 году на 76 случаев больше, чем в 2017 г. Количество геморрагических инсультов снизилось по сравнению с 2017 г на 19 случаев (105 в 2017 г.  против 86 в 2018 г.). </w:t>
      </w:r>
    </w:p>
    <w:p w:rsidR="00ED7F17" w:rsidRDefault="00ED7F17" w:rsidP="00ED7F17">
      <w:pPr>
        <w:ind w:firstLine="709"/>
        <w:jc w:val="both"/>
      </w:pPr>
      <w:r>
        <w:t>Значительно уменьшилось количество повторных госпитализаций - с 7% в 2016 году до 3,14% в 2018 году, что свидетельствует о приверженности пациентов к лечению, эффективности вторичной профилактики. Случаи повторных госпитализаций, как правило, – это пациенты, игнорирующие назначения, данные при выписке, не соблюдающие режим, не обращавшиеся в лечебное учреждение по месту жительства. Чаще – это пожилые и \или одинокие пациенты. Также это пациенты с малой эффективностью медикаментозной терапией, обусловленной тяжелой сосудистой патологией. На территории планируется внедрение мониторинга повторных ОНМК с еженедельным представлением данных из всех МО, участвующих в оказании помощи пациентам с ОНМК, главному внештатному неврологу с последующим анализом и разбором на клинических конференциях 1 раз в квартал с привлечением всех специалистов, участвовавших в лечении.</w:t>
      </w:r>
    </w:p>
    <w:p w:rsidR="00ED7F17" w:rsidRDefault="00ED7F17" w:rsidP="00ED7F17">
      <w:pPr>
        <w:ind w:firstLine="709"/>
        <w:jc w:val="both"/>
      </w:pPr>
      <w:r>
        <w:t>Для оказания медицинской помощи в соответствии с Порядком и клиническими рекомендациями необходимо обеспечить круглосуточное функционирование (24/7/365) подразделения функциональной диагностики для проведения дуплексного сканирования сосудов.</w:t>
      </w:r>
    </w:p>
    <w:p w:rsidR="00ED7F17" w:rsidRDefault="00ED7F17" w:rsidP="00ED7F17">
      <w:pPr>
        <w:ind w:firstLine="709"/>
        <w:jc w:val="both"/>
      </w:pPr>
      <w:r>
        <w:t>С целью оптимизации и сокращения сроков «дверь-игла» запланировано размещение компьютерного томографа на территории РСЦ в 2019 году.</w:t>
      </w:r>
    </w:p>
    <w:p w:rsidR="00ED7F17" w:rsidRDefault="00ED7F17" w:rsidP="00ED7F17">
      <w:pPr>
        <w:widowControl w:val="0"/>
        <w:tabs>
          <w:tab w:val="left" w:pos="1134"/>
        </w:tabs>
        <w:suppressAutoHyphens w:val="0"/>
        <w:ind w:firstLine="709"/>
        <w:jc w:val="both"/>
        <w:rPr>
          <w:lang w:bidi="hi-IN"/>
        </w:rPr>
      </w:pPr>
    </w:p>
    <w:p w:rsidR="00ED7F17" w:rsidRDefault="00ED7F17" w:rsidP="00ED7F17">
      <w:pPr>
        <w:jc w:val="center"/>
        <w:rPr>
          <w:b/>
          <w:lang w:bidi="hi-IN"/>
        </w:rPr>
      </w:pPr>
    </w:p>
    <w:p w:rsidR="00ED7F17" w:rsidRDefault="00ED7F17" w:rsidP="00ED7F17">
      <w:pPr>
        <w:jc w:val="center"/>
        <w:rPr>
          <w:rFonts w:ascii="Arial" w:eastAsia="Arial" w:hAnsi="Arial" w:cs="Arial"/>
          <w:sz w:val="22"/>
          <w:szCs w:val="22"/>
        </w:rPr>
      </w:pPr>
      <w:r>
        <w:rPr>
          <w:b/>
        </w:rPr>
        <w:t>Кардиологические отделение РСЦ</w:t>
      </w:r>
    </w:p>
    <w:p w:rsidR="00ED7F17" w:rsidRDefault="00ED7F17" w:rsidP="00ED7F17">
      <w:pPr>
        <w:ind w:firstLine="680"/>
        <w:jc w:val="both"/>
      </w:pPr>
      <w:r>
        <w:t xml:space="preserve">Кардиологическое отделение РСЦ развернуто на 40 коек. </w:t>
      </w:r>
    </w:p>
    <w:p w:rsidR="00ED7F17" w:rsidRDefault="00ED7F17" w:rsidP="00ED7F17">
      <w:pPr>
        <w:ind w:firstLine="680"/>
        <w:jc w:val="both"/>
      </w:pPr>
      <w:r>
        <w:t>Средняя длительность лечения в отделении кардиологии в 2018 году увеличилась в сравнении с 2017 годом (8,1) и составила 8,5 при целевом значении 10,8.</w:t>
      </w:r>
    </w:p>
    <w:p w:rsidR="00ED7F17" w:rsidRDefault="00ED7F17" w:rsidP="00ED7F17">
      <w:pPr>
        <w:ind w:firstLine="680"/>
        <w:jc w:val="both"/>
      </w:pPr>
      <w:r>
        <w:t>При анализе результатов деятельности РСЦ по ведению больных ОКС с учетом критериев по целевым показателям отмечается достижение большинства целевых показателей.</w:t>
      </w:r>
    </w:p>
    <w:p w:rsidR="00ED7F17" w:rsidRDefault="00ED7F17" w:rsidP="00ED7F17">
      <w:pPr>
        <w:ind w:firstLine="680"/>
        <w:jc w:val="both"/>
      </w:pPr>
      <w:r>
        <w:t>Одним из важных критериев деятельности РСЦ является высокая интервенционная активность, о чем свидетельствует достижение следующих целевых показателей:</w:t>
      </w:r>
    </w:p>
    <w:p w:rsidR="00ED7F17" w:rsidRDefault="00ED7F17" w:rsidP="00ED7F17">
      <w:pPr>
        <w:ind w:firstLine="680"/>
        <w:jc w:val="both"/>
      </w:pPr>
      <w:r>
        <w:t>- проведение диагностической коронарографии при остром коронарном синдроме  составило  93,6 %, при целевом значении не менее 90%.</w:t>
      </w:r>
    </w:p>
    <w:p w:rsidR="00ED7F17" w:rsidRDefault="00ED7F17" w:rsidP="00ED7F17">
      <w:pPr>
        <w:ind w:firstLine="680"/>
        <w:jc w:val="both"/>
      </w:pPr>
      <w:r>
        <w:t xml:space="preserve">- доля ангиопластик при ОКС в целом составила 53 %, при этом с ЧТКА при ОКС </w:t>
      </w:r>
      <w:r>
        <w:rPr>
          <w:lang w:val="en-US"/>
        </w:rPr>
        <w:t>c</w:t>
      </w:r>
      <w:r>
        <w:t xml:space="preserve">подъемом сегмента </w:t>
      </w:r>
      <w:r>
        <w:rPr>
          <w:lang w:val="en-US"/>
        </w:rPr>
        <w:t>ST</w:t>
      </w:r>
      <w:r>
        <w:t xml:space="preserve">64,9 % (целевой уровень – не менее 55%); ЧТКА при ОКС безподъема сегмента </w:t>
      </w:r>
      <w:r>
        <w:rPr>
          <w:lang w:val="en-US"/>
        </w:rPr>
        <w:t>ST</w:t>
      </w:r>
      <w:r>
        <w:t xml:space="preserve"> 38,3 % (целевой уровень – не менее 35%).</w:t>
      </w:r>
    </w:p>
    <w:p w:rsidR="00ED7F17" w:rsidRDefault="00ED7F17" w:rsidP="00ED7F17">
      <w:pPr>
        <w:ind w:firstLine="680"/>
        <w:jc w:val="both"/>
      </w:pPr>
      <w:r>
        <w:t xml:space="preserve">Высокая интервенционная активность объясняет низкие значения проведения госпитального тромболизиса (1,4%) в связи с приоритетностью выполнения ЧТКА со стентированием у пациентов с ОКС. </w:t>
      </w:r>
    </w:p>
    <w:p w:rsidR="00ED7F17" w:rsidRDefault="00ED7F17" w:rsidP="00ED7F17">
      <w:pPr>
        <w:ind w:firstLine="680"/>
        <w:jc w:val="both"/>
      </w:pPr>
      <w:r>
        <w:t>Наиболее проблемным аспектом деятельности РСЦ является летальность от инфаркта миокарда. Данный показатель в 2018 г. составил 11%, что ниже значения 2017 года (12,6%), однако превышает целевой показатель - 7%.</w:t>
      </w:r>
    </w:p>
    <w:p w:rsidR="00ED7F17" w:rsidRDefault="00ED7F17" w:rsidP="00ED7F17">
      <w:pPr>
        <w:ind w:firstLine="680"/>
        <w:jc w:val="both"/>
      </w:pPr>
      <w:r>
        <w:t>Одним их факторов, определяющих высокую летальности от инфаркта миокарда в РСЦ, является изменение маршрутизации пациентов с ОКС с марта 2018 года (распоряжение министерства здравоохранения Астраханской области № 243р от 05.03.2018 «О внесении изменений в распоряжение №540р»). На основании данных изменений в РСЦ перенаправляются все пациенты с ОКСп</w:t>
      </w:r>
      <w:r>
        <w:rPr>
          <w:lang w:val="en-US"/>
        </w:rPr>
        <w:t>ST</w:t>
      </w:r>
      <w:r>
        <w:t>, независимо от сроков развития симптоматики, тяжести состояния и других клинических факторов. Данная группа пациентов является наиболее клинически тяжелой и прогностически неблагоприятной:</w:t>
      </w:r>
    </w:p>
    <w:p w:rsidR="00ED7F17" w:rsidRDefault="00ED7F17" w:rsidP="00ED7F17">
      <w:pPr>
        <w:ind w:firstLine="680"/>
        <w:jc w:val="both"/>
      </w:pPr>
      <w:r>
        <w:t>- в 92% случаев поступившие пациенты находились в состоянии кардиогенного шока, в 70% - с клиникой острой левожелудочковой недостаточности;</w:t>
      </w:r>
    </w:p>
    <w:p w:rsidR="00ED7F17" w:rsidRDefault="00ED7F17" w:rsidP="00ED7F17">
      <w:pPr>
        <w:ind w:firstLine="680"/>
        <w:jc w:val="both"/>
      </w:pPr>
      <w:r>
        <w:t>- несмотря на то, что КАГ была проведена среди данной категории пациентов в 94% случаев, лишь в 20% проведено ЧТКА (в остальных случаях выполнению стентирования препятствовали либо сроки развития инфаркта миокарда – позднее обращение за медицинской помощью, либо характер поражения коронарного русла).</w:t>
      </w:r>
    </w:p>
    <w:p w:rsidR="00ED7F17" w:rsidRDefault="00ED7F17" w:rsidP="00ED7F17">
      <w:pPr>
        <w:ind w:firstLine="680"/>
        <w:jc w:val="both"/>
      </w:pPr>
      <w:r>
        <w:t>Подтверждением данного факта является отрицательная динамика показателя «досуточной» летальности, составившего за анализируемый период 28% (в 2017 – 27%) при целевом показателе ниже 25%. Однако фактически, большинство пациентов погибает не в первые сутки, а в первые часы после госпитализации (в 27% случаев пребывание составило 30 минут, т.е. проведено только реанимационное пособие).</w:t>
      </w:r>
    </w:p>
    <w:p w:rsidR="00ED7F17" w:rsidRDefault="00ED7F17" w:rsidP="00ED7F17">
      <w:pPr>
        <w:ind w:firstLine="680"/>
        <w:jc w:val="both"/>
      </w:pPr>
      <w:r>
        <w:t>Все это свидетельствует о сохраняющейся актуальности таких проблем, как:</w:t>
      </w:r>
    </w:p>
    <w:p w:rsidR="00ED7F17" w:rsidRDefault="00ED7F17" w:rsidP="00ED7F17">
      <w:pPr>
        <w:ind w:firstLine="680"/>
        <w:jc w:val="both"/>
      </w:pPr>
      <w:r>
        <w:t xml:space="preserve">- поздняя обращаемость граждан за медицинской помощью от момента развития первых признаков заболевания (от нескольких часов до 7 суток),  </w:t>
      </w:r>
    </w:p>
    <w:p w:rsidR="00ED7F17" w:rsidRDefault="00ED7F17" w:rsidP="00ED7F17">
      <w:pPr>
        <w:ind w:firstLine="680"/>
        <w:jc w:val="both"/>
      </w:pPr>
      <w:r>
        <w:t>- в подавляющем большинстве случаев пациенты не находились на диспансерном наблюдении по м/жительства, при наличии диагностированных ранее сердечно-сосудистых заболеваний, либо – это запущенные формы заболевания, выявленные впервые;</w:t>
      </w:r>
    </w:p>
    <w:p w:rsidR="00ED7F17" w:rsidRDefault="00ED7F17" w:rsidP="00ED7F17">
      <w:pPr>
        <w:ind w:firstLine="680"/>
        <w:jc w:val="both"/>
      </w:pPr>
      <w:r>
        <w:t xml:space="preserve">- немаловажную роль играет и естественное постарение населения с кумулятивным ростом коморбидной патологии, осложняющей течение заболевания и ухудшающей прогноз. Косвенно данный факт подтверждает снижение летальности от инфаркта миокарда среди лиц трудоспособного возраста с 16,7% в 2017 году до 8,7% в 2018 году (целевой показатель – не более 17,1%). Среди умерших 90% страдали АГ, 78% - сахарным диабетом, 44% в анамнезе имели ОНМК, в 43% - ХБП выше </w:t>
      </w:r>
      <w:r>
        <w:rPr>
          <w:lang w:val="en-US"/>
        </w:rPr>
        <w:t>II</w:t>
      </w:r>
      <w:r>
        <w:t xml:space="preserve">а стадии. Комбинация двух и более из вышеперечисленных заболеваний наблюдалась в 96% случаев. </w:t>
      </w:r>
    </w:p>
    <w:p w:rsidR="00ED7F17" w:rsidRDefault="00ED7F17" w:rsidP="00ED7F17">
      <w:pPr>
        <w:ind w:firstLine="680"/>
        <w:jc w:val="both"/>
      </w:pPr>
      <w:r>
        <w:t>Одним из показателей деятельности РСЦ является интервенционная активность кабинета рентгенхирургических методов диагностики и лечения (КРХМДЛ).</w:t>
      </w:r>
    </w:p>
    <w:p w:rsidR="00ED7F17" w:rsidRDefault="00ED7F17" w:rsidP="00ED7F17">
      <w:pPr>
        <w:ind w:firstLine="680"/>
        <w:jc w:val="both"/>
      </w:pPr>
      <w:r>
        <w:t>За 2018 год отмечается значимый прирост диагностических вмешательств по сравнению с 2017 годом с 352 до 451 процедур чрезкожных коронарных вмешательств при остром коронарном синдроме. Также увеличилось количество как плановых на 522 коронароангиографии (2017 г.- 1148, 2018 г. – 1670), так и экстренных коронароангиографий на 334 (2017 г. – 854, 2018 г – 1188), ангиографий мозговых артерий с 56 до 68, что связано с установкой и вводом в эксплуатацию второго ангиографа на территории РСЦ.</w:t>
      </w:r>
    </w:p>
    <w:p w:rsidR="00ED7F17" w:rsidRDefault="00ED7F17" w:rsidP="00ED7F17">
      <w:pPr>
        <w:ind w:firstLine="680"/>
        <w:jc w:val="both"/>
      </w:pPr>
      <w:r>
        <w:t>Наблюдается снижение числа расхождений клинического и патологоанатомического диагнозов по результатам вскрытия пациентов, умерших в отделении кардиологии РСЦ (в 2018 г. 8 случаев и 13 в 2017 г.). Все случаи расхождений диагнозов разобраны на КИЛИ.</w:t>
      </w:r>
    </w:p>
    <w:p w:rsidR="00ED7F17" w:rsidRDefault="00ED7F17" w:rsidP="00ED7F17">
      <w:pPr>
        <w:ind w:firstLine="680"/>
        <w:jc w:val="both"/>
      </w:pPr>
    </w:p>
    <w:p w:rsidR="00ED7F17" w:rsidRDefault="00ED7F17" w:rsidP="00ED7F17">
      <w:pPr>
        <w:widowControl w:val="0"/>
        <w:ind w:right="-142"/>
        <w:jc w:val="center"/>
        <w:rPr>
          <w:rFonts w:ascii="Arial" w:hAnsi="Arial" w:cs="Arial"/>
          <w:sz w:val="22"/>
          <w:szCs w:val="22"/>
        </w:rPr>
      </w:pPr>
      <w:r>
        <w:rPr>
          <w:rFonts w:eastAsia="Arial Unicode MS"/>
          <w:b/>
          <w:color w:val="000000"/>
        </w:rPr>
        <w:t>Анализ оказания медицинской помощи в ГБУЗ АО «Ахтубинская РБ» (ПСО)</w:t>
      </w:r>
    </w:p>
    <w:p w:rsidR="00ED7F17" w:rsidRDefault="00ED7F17" w:rsidP="00ED7F17">
      <w:pPr>
        <w:tabs>
          <w:tab w:val="left" w:pos="1134"/>
        </w:tabs>
        <w:ind w:firstLine="680"/>
        <w:jc w:val="both"/>
      </w:pPr>
      <w:r>
        <w:t xml:space="preserve">Ахтубинский район расположен на севере Астраханской области, является территорией, площадью 7750 кв. км, занимающей 14,7% территории Астраханской области. Плотность населения составляет 9,2 человека на кв. км. Особенностью Ахтубинского района является его отдаленность от областного центра. </w:t>
      </w:r>
    </w:p>
    <w:p w:rsidR="00ED7F17" w:rsidRDefault="00ED7F17" w:rsidP="00ED7F17">
      <w:pPr>
        <w:tabs>
          <w:tab w:val="left" w:pos="1134"/>
        </w:tabs>
        <w:ind w:firstLine="680"/>
        <w:jc w:val="both"/>
      </w:pPr>
      <w:r>
        <w:t>В Ахтубинском районе проживает 63688 человек (2017 – 64553, 2016 - 65218, 2015 – 66105), из них – 25% - сельского населения. Ежегодно происходит снижение количества населения примерно на 1 тысячу человек.</w:t>
      </w:r>
    </w:p>
    <w:p w:rsidR="00ED7F17" w:rsidRDefault="00ED7F17" w:rsidP="00ED7F17">
      <w:pPr>
        <w:tabs>
          <w:tab w:val="left" w:pos="1134"/>
        </w:tabs>
        <w:ind w:firstLine="680"/>
        <w:jc w:val="both"/>
      </w:pPr>
      <w:r>
        <w:t xml:space="preserve">Прикрепленного населения 48076 – 75% населения района (2017 – 48484, 2016 – 48865, 2015 – 49563). Детей 10509, ИВО – 3, УВОВ – 17. Отмечается старение населения, значительно выросло количество лиц старше трудоспособного возраста – на 1781 человека и составило 14689 человек, или 30,6% (2017 – 12908 человек, 26,5%, 2016г – 10705 человек, 22%).  </w:t>
      </w:r>
    </w:p>
    <w:p w:rsidR="00ED7F17" w:rsidRDefault="00ED7F17" w:rsidP="00ED7F17">
      <w:pPr>
        <w:tabs>
          <w:tab w:val="left" w:pos="1134"/>
        </w:tabs>
        <w:ind w:firstLine="680"/>
        <w:jc w:val="both"/>
      </w:pPr>
      <w:r>
        <w:t>За 2018 год в районе умерло 647 человек (2017 – 667, 2016 – 696). Однако количество прикрепленного населения снижается и показатель смертности вырос и составил 13,4 на 1 тыс. населения (2017 – 11,2, 2016 - 14,1), что значительно превышает показатель по Астраханской области (11,7 на 1 тыс. населения). Естественный прирост населения в 2018 г отрицательный – минус 2,3 (2017 – минус 1,3, 2016г – плюс 0,7).</w:t>
      </w:r>
    </w:p>
    <w:p w:rsidR="00ED7F17" w:rsidRDefault="00ED7F17" w:rsidP="00ED7F17">
      <w:pPr>
        <w:tabs>
          <w:tab w:val="left" w:pos="1134"/>
        </w:tabs>
        <w:ind w:firstLine="680"/>
        <w:jc w:val="both"/>
      </w:pPr>
      <w:r>
        <w:t xml:space="preserve">В структуре смертности: 1 место – болезни системы кровообращения, П место – онкологические заболевания; Ш место – внешние причины.  </w:t>
      </w:r>
    </w:p>
    <w:p w:rsidR="00ED7F17" w:rsidRDefault="00ED7F17" w:rsidP="00ED7F17">
      <w:pPr>
        <w:tabs>
          <w:tab w:val="left" w:pos="1134"/>
        </w:tabs>
        <w:ind w:firstLine="680"/>
        <w:jc w:val="both"/>
      </w:pPr>
      <w:r>
        <w:rPr>
          <w:u w:val="single"/>
        </w:rPr>
        <w:t>Смертность от ИМ на 100 тыс населения – целевой показатель 49,6.</w:t>
      </w:r>
      <w:r>
        <w:t xml:space="preserve"> По Ахтубинской РБ в 2018г – 39 случаев, показатель – 80,5. В 2017г – 36 случаев, показатель -  73,7. Отмечается рост как в абсолютных числах, так и показателя.</w:t>
      </w:r>
    </w:p>
    <w:p w:rsidR="00ED7F17" w:rsidRDefault="00ED7F17" w:rsidP="00ED7F17">
      <w:pPr>
        <w:tabs>
          <w:tab w:val="left" w:pos="1134"/>
        </w:tabs>
        <w:ind w:firstLine="680"/>
        <w:jc w:val="both"/>
      </w:pPr>
      <w:r>
        <w:rPr>
          <w:u w:val="single"/>
        </w:rPr>
        <w:t>Смертность от ОНМК на 100 тыс населения – целевой показатель – 87,2.</w:t>
      </w:r>
      <w:r>
        <w:t xml:space="preserve"> По Ахтубинской РБ в 2018г – 45 случаев, показатель – 92,9. В 2017г – 41 случай, показатель 83,9. Отмечается рост как в абсолютных числах, так и показателя.</w:t>
      </w:r>
    </w:p>
    <w:p w:rsidR="00ED7F17" w:rsidRDefault="00ED7F17" w:rsidP="00ED7F17">
      <w:pPr>
        <w:tabs>
          <w:tab w:val="left" w:pos="1134"/>
        </w:tabs>
        <w:ind w:firstLine="680"/>
        <w:jc w:val="both"/>
      </w:pPr>
      <w:r>
        <w:t xml:space="preserve">В ГБУЗ АО «Ахтубинская РБ» с 01.07.2013 функционирует первичное сосудистое отделение для оказания специализированной медицинской помощи больным с острым нарушением мозгового кровообращения и сердечно- сосудистыми заболеваниями, в том числе с острым инфарктом миокарда. г на базе ГБУЗ АО «Ахтубинская РБ» развернуто первичное сосудистое отделение (далее – ПСО). </w:t>
      </w:r>
    </w:p>
    <w:p w:rsidR="00ED7F17" w:rsidRDefault="00ED7F17" w:rsidP="00ED7F17">
      <w:pPr>
        <w:tabs>
          <w:tab w:val="left" w:pos="1134"/>
        </w:tabs>
        <w:ind w:firstLine="680"/>
        <w:jc w:val="both"/>
      </w:pPr>
      <w:r>
        <w:t>В состав ПСО входит:</w:t>
      </w:r>
    </w:p>
    <w:p w:rsidR="00ED7F17" w:rsidRDefault="00ED7F17" w:rsidP="00ED7F17">
      <w:pPr>
        <w:tabs>
          <w:tab w:val="left" w:pos="1134"/>
        </w:tabs>
        <w:ind w:firstLine="680"/>
        <w:jc w:val="both"/>
      </w:pPr>
      <w:r>
        <w:t>- кардиологическое отделение: 3 койки кардиологического профиля дневного пребывания; круглосуточных коек: 19 кардиологических, 8 – для острого инфаркта миокарда, из них – 3 ПИТ.</w:t>
      </w:r>
    </w:p>
    <w:p w:rsidR="00ED7F17" w:rsidRDefault="00ED7F17" w:rsidP="00ED7F17">
      <w:pPr>
        <w:tabs>
          <w:tab w:val="left" w:pos="1134"/>
        </w:tabs>
        <w:ind w:firstLine="680"/>
        <w:jc w:val="both"/>
      </w:pPr>
      <w:r>
        <w:t>- неврологическое отделение: 5 коек неврологического профиля дневного пребывания; круглосуточных коек: 16 неврологических, 7 – для острого инфаркта миокарда, из них – 3 ПИТ.</w:t>
      </w:r>
    </w:p>
    <w:p w:rsidR="00ED7F17" w:rsidRDefault="00ED7F17" w:rsidP="00ED7F17">
      <w:pPr>
        <w:tabs>
          <w:tab w:val="left" w:pos="1134"/>
        </w:tabs>
        <w:ind w:firstLine="709"/>
        <w:jc w:val="both"/>
      </w:pPr>
      <w:r>
        <w:t>Для проведения лабораторных и функциональных исследований, с целью обеспечения потребностей работы больницы в целом и ПСО в частности в Ахтубинской РБ организована работа следующих подразделений:</w:t>
      </w:r>
    </w:p>
    <w:p w:rsidR="00ED7F17" w:rsidRDefault="00ED7F17" w:rsidP="00ED7F17">
      <w:pPr>
        <w:pStyle w:val="17"/>
        <w:spacing w:after="0" w:line="240" w:lineRule="auto"/>
        <w:ind w:left="0" w:firstLine="709"/>
        <w:jc w:val="both"/>
      </w:pPr>
      <w:r>
        <w:rPr>
          <w:rFonts w:ascii="Times New Roman" w:hAnsi="Times New Roman" w:cs="Times New Roman"/>
        </w:rPr>
        <w:t xml:space="preserve">Клинико-диагностическая лаборатория: общие анализы, биохимические анализы, коагулограмма. </w:t>
      </w:r>
    </w:p>
    <w:p w:rsidR="00ED7F17" w:rsidRDefault="00ED7F17" w:rsidP="00ED7F17">
      <w:pPr>
        <w:tabs>
          <w:tab w:val="left" w:pos="1134"/>
        </w:tabs>
        <w:ind w:firstLine="680"/>
        <w:jc w:val="both"/>
      </w:pPr>
      <w:r>
        <w:t>Отделение функциональной диагностики: ЭКГ, холтеровское мониторирование, СМАД.</w:t>
      </w:r>
    </w:p>
    <w:p w:rsidR="00ED7F17" w:rsidRDefault="00ED7F17" w:rsidP="00ED7F17">
      <w:pPr>
        <w:tabs>
          <w:tab w:val="left" w:pos="1134"/>
        </w:tabs>
        <w:ind w:firstLine="680"/>
        <w:jc w:val="both"/>
      </w:pPr>
      <w:r>
        <w:t>Отделение УЗИ диагностики: УЗИ сердца, УЗДГ сосудов, органов брюшной полости, малого таза.</w:t>
      </w:r>
    </w:p>
    <w:p w:rsidR="00ED7F17" w:rsidRDefault="00ED7F17" w:rsidP="00ED7F17">
      <w:pPr>
        <w:tabs>
          <w:tab w:val="left" w:pos="1134"/>
        </w:tabs>
        <w:ind w:firstLine="680"/>
        <w:jc w:val="both"/>
      </w:pPr>
      <w:r>
        <w:t>Рентгенологическое отделение с кабинетами флюорографии, маммографии, компьютерной томографии (ренген ОГК, ФГОГК, КТ ОГК, ОБП, забрюшинного пространства)</w:t>
      </w:r>
    </w:p>
    <w:p w:rsidR="00ED7F17" w:rsidRDefault="00ED7F17" w:rsidP="00ED7F17">
      <w:pPr>
        <w:tabs>
          <w:tab w:val="left" w:pos="1134"/>
        </w:tabs>
        <w:ind w:firstLine="680"/>
        <w:jc w:val="both"/>
      </w:pPr>
      <w:r>
        <w:t xml:space="preserve">Также функционируют эндоскопическое отделение, физиотерапевтическое отделение и отделение переливания крови </w:t>
      </w:r>
    </w:p>
    <w:p w:rsidR="00ED7F17" w:rsidRDefault="00ED7F17" w:rsidP="00ED7F17">
      <w:pPr>
        <w:widowControl w:val="0"/>
        <w:tabs>
          <w:tab w:val="left" w:pos="1134"/>
        </w:tabs>
        <w:suppressAutoHyphens w:val="0"/>
        <w:ind w:firstLine="709"/>
        <w:jc w:val="both"/>
      </w:pPr>
      <w:r>
        <w:rPr>
          <w:rFonts w:eastAsia="SimSun"/>
          <w:lang w:bidi="hi-IN"/>
        </w:rPr>
        <w:t>Анализ работы неврологического отделения ПСО ГБУЗ АО «Ахтубинская РБ»</w:t>
      </w:r>
    </w:p>
    <w:tbl>
      <w:tblPr>
        <w:tblW w:w="0" w:type="auto"/>
        <w:tblInd w:w="-20" w:type="dxa"/>
        <w:tblLayout w:type="fixed"/>
        <w:tblCellMar>
          <w:left w:w="103" w:type="dxa"/>
        </w:tblCellMar>
        <w:tblLook w:val="04A0" w:firstRow="1" w:lastRow="0" w:firstColumn="1" w:lastColumn="0" w:noHBand="0" w:noVBand="1"/>
      </w:tblPr>
      <w:tblGrid>
        <w:gridCol w:w="1809"/>
        <w:gridCol w:w="1560"/>
        <w:gridCol w:w="1317"/>
        <w:gridCol w:w="1562"/>
        <w:gridCol w:w="1562"/>
        <w:gridCol w:w="1603"/>
      </w:tblGrid>
      <w:tr w:rsidR="00ED7F17" w:rsidTr="00ED7F17">
        <w:tc>
          <w:tcPr>
            <w:tcW w:w="1809" w:type="dxa"/>
            <w:tcBorders>
              <w:top w:val="single" w:sz="4" w:space="0" w:color="000000"/>
              <w:left w:val="single" w:sz="4" w:space="0" w:color="000000"/>
              <w:bottom w:val="single" w:sz="4" w:space="0" w:color="000000"/>
              <w:right w:val="nil"/>
            </w:tcBorders>
          </w:tcPr>
          <w:p w:rsidR="00ED7F17" w:rsidRDefault="00ED7F17">
            <w:pPr>
              <w:widowControl w:val="0"/>
              <w:tabs>
                <w:tab w:val="left" w:pos="1134"/>
              </w:tabs>
              <w:suppressAutoHyphens w:val="0"/>
              <w:snapToGrid w:val="0"/>
              <w:jc w:val="both"/>
              <w:rPr>
                <w:rFonts w:eastAsia="SimSun"/>
                <w:sz w:val="20"/>
                <w:szCs w:val="20"/>
                <w:lang w:bidi="hi-IN"/>
              </w:rPr>
            </w:pPr>
          </w:p>
        </w:tc>
        <w:tc>
          <w:tcPr>
            <w:tcW w:w="1560"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b/>
                <w:sz w:val="20"/>
                <w:szCs w:val="20"/>
                <w:lang w:bidi="hi-IN"/>
              </w:rPr>
              <w:t>2018</w:t>
            </w:r>
          </w:p>
        </w:tc>
        <w:tc>
          <w:tcPr>
            <w:tcW w:w="1317"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b/>
                <w:sz w:val="20"/>
                <w:szCs w:val="20"/>
                <w:lang w:bidi="hi-IN"/>
              </w:rPr>
              <w:t>2017</w:t>
            </w:r>
          </w:p>
        </w:tc>
        <w:tc>
          <w:tcPr>
            <w:tcW w:w="1562"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b/>
                <w:sz w:val="20"/>
                <w:szCs w:val="20"/>
                <w:lang w:bidi="hi-IN"/>
              </w:rPr>
              <w:t>2016</w:t>
            </w:r>
          </w:p>
        </w:tc>
        <w:tc>
          <w:tcPr>
            <w:tcW w:w="1562"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b/>
                <w:sz w:val="20"/>
                <w:szCs w:val="20"/>
                <w:lang w:bidi="hi-IN"/>
              </w:rPr>
              <w:t>2015</w:t>
            </w:r>
          </w:p>
        </w:tc>
        <w:tc>
          <w:tcPr>
            <w:tcW w:w="1603" w:type="dxa"/>
            <w:tcBorders>
              <w:top w:val="single" w:sz="4" w:space="0" w:color="000000"/>
              <w:left w:val="single" w:sz="4" w:space="0" w:color="000000"/>
              <w:bottom w:val="single" w:sz="4" w:space="0" w:color="000000"/>
              <w:right w:val="single" w:sz="4" w:space="0" w:color="000000"/>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b/>
                <w:sz w:val="20"/>
                <w:szCs w:val="20"/>
                <w:lang w:bidi="hi-IN"/>
              </w:rPr>
              <w:t>2014</w:t>
            </w:r>
          </w:p>
        </w:tc>
      </w:tr>
      <w:tr w:rsidR="00ED7F17" w:rsidTr="00ED7F17">
        <w:tc>
          <w:tcPr>
            <w:tcW w:w="1809" w:type="dxa"/>
            <w:tcBorders>
              <w:top w:val="single" w:sz="4" w:space="0" w:color="000000"/>
              <w:left w:val="single" w:sz="4" w:space="0" w:color="000000"/>
              <w:bottom w:val="single" w:sz="4" w:space="0" w:color="000000"/>
              <w:right w:val="nil"/>
            </w:tcBorders>
            <w:hideMark/>
          </w:tcPr>
          <w:p w:rsidR="00ED7F17" w:rsidRDefault="00ED7F17">
            <w:pPr>
              <w:widowControl w:val="0"/>
              <w:tabs>
                <w:tab w:val="left" w:pos="1134"/>
              </w:tabs>
              <w:suppressAutoHyphens w:val="0"/>
              <w:jc w:val="both"/>
              <w:rPr>
                <w:rFonts w:ascii="Arial" w:eastAsia="Arial" w:hAnsi="Arial" w:cs="Arial"/>
                <w:sz w:val="22"/>
                <w:szCs w:val="22"/>
              </w:rPr>
            </w:pPr>
            <w:r>
              <w:rPr>
                <w:rFonts w:eastAsia="SimSun"/>
                <w:sz w:val="20"/>
                <w:szCs w:val="20"/>
                <w:lang w:bidi="hi-IN"/>
              </w:rPr>
              <w:t>Работа койки факт</w:t>
            </w:r>
          </w:p>
        </w:tc>
        <w:tc>
          <w:tcPr>
            <w:tcW w:w="1560"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295,83</w:t>
            </w:r>
          </w:p>
        </w:tc>
        <w:tc>
          <w:tcPr>
            <w:tcW w:w="1317"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510,2</w:t>
            </w:r>
          </w:p>
        </w:tc>
        <w:tc>
          <w:tcPr>
            <w:tcW w:w="1562"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435,9</w:t>
            </w:r>
          </w:p>
        </w:tc>
        <w:tc>
          <w:tcPr>
            <w:tcW w:w="1562"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510,2</w:t>
            </w:r>
          </w:p>
        </w:tc>
        <w:tc>
          <w:tcPr>
            <w:tcW w:w="1603" w:type="dxa"/>
            <w:tcBorders>
              <w:top w:val="single" w:sz="4" w:space="0" w:color="000000"/>
              <w:left w:val="single" w:sz="4" w:space="0" w:color="000000"/>
              <w:bottom w:val="single" w:sz="4" w:space="0" w:color="000000"/>
              <w:right w:val="single" w:sz="4" w:space="0" w:color="000000"/>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295,8</w:t>
            </w:r>
          </w:p>
        </w:tc>
      </w:tr>
      <w:tr w:rsidR="00ED7F17" w:rsidTr="00ED7F17">
        <w:tc>
          <w:tcPr>
            <w:tcW w:w="1809" w:type="dxa"/>
            <w:tcBorders>
              <w:top w:val="single" w:sz="4" w:space="0" w:color="000000"/>
              <w:left w:val="single" w:sz="4" w:space="0" w:color="000000"/>
              <w:bottom w:val="single" w:sz="4" w:space="0" w:color="000000"/>
              <w:right w:val="nil"/>
            </w:tcBorders>
            <w:hideMark/>
          </w:tcPr>
          <w:p w:rsidR="00ED7F17" w:rsidRDefault="00ED7F17">
            <w:pPr>
              <w:widowControl w:val="0"/>
              <w:tabs>
                <w:tab w:val="left" w:pos="1134"/>
              </w:tabs>
              <w:suppressAutoHyphens w:val="0"/>
              <w:jc w:val="both"/>
              <w:rPr>
                <w:rFonts w:ascii="Arial" w:eastAsia="Arial" w:hAnsi="Arial" w:cs="Arial"/>
                <w:sz w:val="22"/>
                <w:szCs w:val="22"/>
              </w:rPr>
            </w:pPr>
            <w:r>
              <w:rPr>
                <w:rFonts w:eastAsia="SimSun"/>
                <w:sz w:val="20"/>
                <w:szCs w:val="20"/>
                <w:lang w:bidi="hi-IN"/>
              </w:rPr>
              <w:t>Поступило</w:t>
            </w:r>
          </w:p>
        </w:tc>
        <w:tc>
          <w:tcPr>
            <w:tcW w:w="1560"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345</w:t>
            </w:r>
          </w:p>
        </w:tc>
        <w:tc>
          <w:tcPr>
            <w:tcW w:w="1317"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341</w:t>
            </w:r>
          </w:p>
        </w:tc>
        <w:tc>
          <w:tcPr>
            <w:tcW w:w="1562"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352</w:t>
            </w:r>
          </w:p>
        </w:tc>
        <w:tc>
          <w:tcPr>
            <w:tcW w:w="1562"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334</w:t>
            </w:r>
          </w:p>
        </w:tc>
        <w:tc>
          <w:tcPr>
            <w:tcW w:w="1603" w:type="dxa"/>
            <w:tcBorders>
              <w:top w:val="single" w:sz="4" w:space="0" w:color="000000"/>
              <w:left w:val="single" w:sz="4" w:space="0" w:color="000000"/>
              <w:bottom w:val="single" w:sz="4" w:space="0" w:color="000000"/>
              <w:right w:val="single" w:sz="4" w:space="0" w:color="000000"/>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321</w:t>
            </w:r>
          </w:p>
        </w:tc>
      </w:tr>
      <w:tr w:rsidR="00ED7F17" w:rsidTr="00ED7F17">
        <w:tc>
          <w:tcPr>
            <w:tcW w:w="1809" w:type="dxa"/>
            <w:tcBorders>
              <w:top w:val="single" w:sz="4" w:space="0" w:color="000000"/>
              <w:left w:val="single" w:sz="4" w:space="0" w:color="000000"/>
              <w:bottom w:val="single" w:sz="4" w:space="0" w:color="000000"/>
              <w:right w:val="nil"/>
            </w:tcBorders>
            <w:hideMark/>
          </w:tcPr>
          <w:p w:rsidR="00ED7F17" w:rsidRDefault="00ED7F17">
            <w:pPr>
              <w:widowControl w:val="0"/>
              <w:tabs>
                <w:tab w:val="left" w:pos="1134"/>
              </w:tabs>
              <w:suppressAutoHyphens w:val="0"/>
              <w:jc w:val="both"/>
              <w:rPr>
                <w:rFonts w:ascii="Arial" w:eastAsia="Arial" w:hAnsi="Arial" w:cs="Arial"/>
                <w:sz w:val="22"/>
                <w:szCs w:val="22"/>
              </w:rPr>
            </w:pPr>
            <w:r>
              <w:rPr>
                <w:rFonts w:eastAsia="SimSun"/>
                <w:sz w:val="20"/>
                <w:szCs w:val="20"/>
                <w:lang w:bidi="hi-IN"/>
              </w:rPr>
              <w:t>Выбыло</w:t>
            </w:r>
          </w:p>
        </w:tc>
        <w:tc>
          <w:tcPr>
            <w:tcW w:w="1560"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322</w:t>
            </w:r>
          </w:p>
        </w:tc>
        <w:tc>
          <w:tcPr>
            <w:tcW w:w="1317"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324</w:t>
            </w:r>
          </w:p>
        </w:tc>
        <w:tc>
          <w:tcPr>
            <w:tcW w:w="1562"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340</w:t>
            </w:r>
          </w:p>
        </w:tc>
        <w:tc>
          <w:tcPr>
            <w:tcW w:w="1562"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312</w:t>
            </w:r>
          </w:p>
        </w:tc>
        <w:tc>
          <w:tcPr>
            <w:tcW w:w="1603" w:type="dxa"/>
            <w:tcBorders>
              <w:top w:val="single" w:sz="4" w:space="0" w:color="000000"/>
              <w:left w:val="single" w:sz="4" w:space="0" w:color="000000"/>
              <w:bottom w:val="single" w:sz="4" w:space="0" w:color="000000"/>
              <w:right w:val="single" w:sz="4" w:space="0" w:color="000000"/>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302</w:t>
            </w:r>
          </w:p>
        </w:tc>
      </w:tr>
      <w:tr w:rsidR="00ED7F17" w:rsidTr="00ED7F17">
        <w:tc>
          <w:tcPr>
            <w:tcW w:w="1809" w:type="dxa"/>
            <w:tcBorders>
              <w:top w:val="single" w:sz="4" w:space="0" w:color="000000"/>
              <w:left w:val="single" w:sz="4" w:space="0" w:color="000000"/>
              <w:bottom w:val="single" w:sz="4" w:space="0" w:color="000000"/>
              <w:right w:val="nil"/>
            </w:tcBorders>
            <w:hideMark/>
          </w:tcPr>
          <w:p w:rsidR="00ED7F17" w:rsidRDefault="00ED7F17">
            <w:pPr>
              <w:widowControl w:val="0"/>
              <w:tabs>
                <w:tab w:val="left" w:pos="1134"/>
              </w:tabs>
              <w:suppressAutoHyphens w:val="0"/>
              <w:jc w:val="both"/>
              <w:rPr>
                <w:rFonts w:ascii="Arial" w:eastAsia="Arial" w:hAnsi="Arial" w:cs="Arial"/>
                <w:sz w:val="22"/>
                <w:szCs w:val="22"/>
              </w:rPr>
            </w:pPr>
            <w:r>
              <w:rPr>
                <w:rFonts w:eastAsia="SimSun"/>
                <w:sz w:val="20"/>
                <w:szCs w:val="20"/>
                <w:lang w:bidi="hi-IN"/>
              </w:rPr>
              <w:t>Умерло</w:t>
            </w:r>
          </w:p>
        </w:tc>
        <w:tc>
          <w:tcPr>
            <w:tcW w:w="1560"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56</w:t>
            </w:r>
          </w:p>
        </w:tc>
        <w:tc>
          <w:tcPr>
            <w:tcW w:w="1317"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68</w:t>
            </w:r>
          </w:p>
        </w:tc>
        <w:tc>
          <w:tcPr>
            <w:tcW w:w="1562"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70</w:t>
            </w:r>
          </w:p>
        </w:tc>
        <w:tc>
          <w:tcPr>
            <w:tcW w:w="1562"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69</w:t>
            </w:r>
          </w:p>
        </w:tc>
        <w:tc>
          <w:tcPr>
            <w:tcW w:w="1603" w:type="dxa"/>
            <w:tcBorders>
              <w:top w:val="single" w:sz="4" w:space="0" w:color="000000"/>
              <w:left w:val="single" w:sz="4" w:space="0" w:color="000000"/>
              <w:bottom w:val="single" w:sz="4" w:space="0" w:color="000000"/>
              <w:right w:val="single" w:sz="4" w:space="0" w:color="000000"/>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77</w:t>
            </w:r>
          </w:p>
        </w:tc>
      </w:tr>
      <w:tr w:rsidR="00ED7F17" w:rsidTr="00ED7F17">
        <w:tc>
          <w:tcPr>
            <w:tcW w:w="1809" w:type="dxa"/>
            <w:tcBorders>
              <w:top w:val="single" w:sz="4" w:space="0" w:color="000000"/>
              <w:left w:val="single" w:sz="4" w:space="0" w:color="000000"/>
              <w:bottom w:val="single" w:sz="4" w:space="0" w:color="000000"/>
              <w:right w:val="nil"/>
            </w:tcBorders>
            <w:hideMark/>
          </w:tcPr>
          <w:p w:rsidR="00ED7F17" w:rsidRDefault="00ED7F17">
            <w:pPr>
              <w:widowControl w:val="0"/>
              <w:tabs>
                <w:tab w:val="left" w:pos="1134"/>
              </w:tabs>
              <w:suppressAutoHyphens w:val="0"/>
              <w:jc w:val="both"/>
              <w:rPr>
                <w:rFonts w:ascii="Arial" w:eastAsia="Arial" w:hAnsi="Arial" w:cs="Arial"/>
                <w:sz w:val="22"/>
                <w:szCs w:val="22"/>
              </w:rPr>
            </w:pPr>
            <w:r>
              <w:rPr>
                <w:rFonts w:eastAsia="SimSun"/>
                <w:sz w:val="20"/>
                <w:szCs w:val="20"/>
                <w:lang w:bidi="hi-IN"/>
              </w:rPr>
              <w:t>Летальность</w:t>
            </w:r>
          </w:p>
        </w:tc>
        <w:tc>
          <w:tcPr>
            <w:tcW w:w="1560"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19,2</w:t>
            </w:r>
          </w:p>
        </w:tc>
        <w:tc>
          <w:tcPr>
            <w:tcW w:w="1317"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21,0</w:t>
            </w:r>
          </w:p>
        </w:tc>
        <w:tc>
          <w:tcPr>
            <w:tcW w:w="1562"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21,3</w:t>
            </w:r>
          </w:p>
        </w:tc>
        <w:tc>
          <w:tcPr>
            <w:tcW w:w="1562"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23,8</w:t>
            </w:r>
          </w:p>
        </w:tc>
        <w:tc>
          <w:tcPr>
            <w:tcW w:w="1603" w:type="dxa"/>
            <w:tcBorders>
              <w:top w:val="single" w:sz="4" w:space="0" w:color="000000"/>
              <w:left w:val="single" w:sz="4" w:space="0" w:color="000000"/>
              <w:bottom w:val="single" w:sz="4" w:space="0" w:color="000000"/>
              <w:right w:val="single" w:sz="4" w:space="0" w:color="000000"/>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26,9</w:t>
            </w:r>
          </w:p>
        </w:tc>
      </w:tr>
      <w:tr w:rsidR="00ED7F17" w:rsidTr="00ED7F17">
        <w:tc>
          <w:tcPr>
            <w:tcW w:w="1809" w:type="dxa"/>
            <w:tcBorders>
              <w:top w:val="single" w:sz="4" w:space="0" w:color="000000"/>
              <w:left w:val="single" w:sz="4" w:space="0" w:color="000000"/>
              <w:bottom w:val="single" w:sz="4" w:space="0" w:color="000000"/>
              <w:right w:val="nil"/>
            </w:tcBorders>
            <w:hideMark/>
          </w:tcPr>
          <w:p w:rsidR="00ED7F17" w:rsidRDefault="00ED7F17">
            <w:pPr>
              <w:widowControl w:val="0"/>
              <w:tabs>
                <w:tab w:val="left" w:pos="1134"/>
              </w:tabs>
              <w:suppressAutoHyphens w:val="0"/>
              <w:jc w:val="both"/>
              <w:rPr>
                <w:rFonts w:ascii="Arial" w:eastAsia="Arial" w:hAnsi="Arial" w:cs="Arial"/>
                <w:sz w:val="22"/>
                <w:szCs w:val="22"/>
              </w:rPr>
            </w:pPr>
            <w:r>
              <w:rPr>
                <w:rFonts w:eastAsia="SimSun"/>
                <w:sz w:val="20"/>
                <w:szCs w:val="20"/>
                <w:lang w:bidi="hi-IN"/>
              </w:rPr>
              <w:t>ТЛТ%</w:t>
            </w:r>
          </w:p>
        </w:tc>
        <w:tc>
          <w:tcPr>
            <w:tcW w:w="1560"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3,4%</w:t>
            </w:r>
          </w:p>
        </w:tc>
        <w:tc>
          <w:tcPr>
            <w:tcW w:w="1317"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Нет данных</w:t>
            </w:r>
          </w:p>
        </w:tc>
        <w:tc>
          <w:tcPr>
            <w:tcW w:w="1562"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Нет данных</w:t>
            </w:r>
          </w:p>
        </w:tc>
        <w:tc>
          <w:tcPr>
            <w:tcW w:w="1562"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Нет данных</w:t>
            </w:r>
          </w:p>
        </w:tc>
        <w:tc>
          <w:tcPr>
            <w:tcW w:w="1603" w:type="dxa"/>
            <w:tcBorders>
              <w:top w:val="single" w:sz="4" w:space="0" w:color="000000"/>
              <w:left w:val="single" w:sz="4" w:space="0" w:color="000000"/>
              <w:bottom w:val="single" w:sz="4" w:space="0" w:color="000000"/>
              <w:right w:val="single" w:sz="4" w:space="0" w:color="000000"/>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Нет данных</w:t>
            </w:r>
          </w:p>
        </w:tc>
      </w:tr>
    </w:tbl>
    <w:p w:rsidR="00ED7F17" w:rsidRDefault="00ED7F17" w:rsidP="00ED7F17">
      <w:pPr>
        <w:widowControl w:val="0"/>
        <w:tabs>
          <w:tab w:val="left" w:pos="1134"/>
        </w:tabs>
        <w:suppressAutoHyphens w:val="0"/>
        <w:jc w:val="both"/>
        <w:rPr>
          <w:rFonts w:eastAsia="SimSun"/>
          <w:lang w:bidi="hi-IN"/>
        </w:rPr>
      </w:pPr>
    </w:p>
    <w:p w:rsidR="00ED7F17" w:rsidRDefault="00ED7F17" w:rsidP="00ED7F17">
      <w:pPr>
        <w:ind w:firstLine="709"/>
        <w:jc w:val="both"/>
        <w:rPr>
          <w:rFonts w:ascii="Arial" w:eastAsia="Arial" w:hAnsi="Arial" w:cs="Arial"/>
          <w:sz w:val="22"/>
          <w:szCs w:val="22"/>
        </w:rPr>
      </w:pPr>
      <w:r>
        <w:t>Всего с инфарктом миокарда умерло 23 пациента, в первые 24 часа после поступления в стационар – 16 (2017 – 5, 2016 – 4, 2015 – 13).</w:t>
      </w:r>
    </w:p>
    <w:p w:rsidR="00ED7F17" w:rsidRDefault="00ED7F17" w:rsidP="00ED7F17">
      <w:pPr>
        <w:ind w:firstLine="709"/>
        <w:jc w:val="both"/>
      </w:pPr>
      <w:r>
        <w:t>Больничная летальность от инфаркта миокарда составила 41,8% (в 2017 году – 28,4%) при целевом показателе 18,3%.</w:t>
      </w:r>
    </w:p>
    <w:p w:rsidR="00ED7F17" w:rsidRDefault="00ED7F17" w:rsidP="00ED7F17">
      <w:pPr>
        <w:ind w:firstLine="709"/>
        <w:jc w:val="both"/>
      </w:pPr>
      <w:r>
        <w:t xml:space="preserve">Стабильно высоким остается количество пациентов с острыми цереброваскулярными болезнями – 281 пациент (2017 – 245, 2016 – 251) растет количество поступивших в первые сутки от начала заболевания – 201 (2017 – 198, 2016 – 178, 2015 – 162). Доля профильных госпитализаций пациентов с ОНМК, доставленных СМП - 96% при целевом показателе 89,5%. </w:t>
      </w:r>
    </w:p>
    <w:p w:rsidR="00ED7F17" w:rsidRDefault="00ED7F17" w:rsidP="00ED7F17">
      <w:pPr>
        <w:ind w:firstLine="709"/>
        <w:jc w:val="both"/>
      </w:pPr>
      <w:r>
        <w:t>Больничная летальность от ОНМК в 2018 году составила 20,3% (в 2017 году – 21,35) при целевом показателе 18,5.</w:t>
      </w:r>
    </w:p>
    <w:p w:rsidR="00ED7F17" w:rsidRDefault="00ED7F17" w:rsidP="00ED7F17">
      <w:pPr>
        <w:ind w:firstLine="709"/>
        <w:jc w:val="both"/>
      </w:pPr>
      <w:r>
        <w:t>Досуточная летальность осталась практически на уровне прошлого года и составила – 38 случаев, 24% (2017 – 44, 24,3%; 2016 – 29, 19,7%; 2015 – 41, 20,3%). В структуре досуточной летальности на первом месте болезни сердечно-сосудистой системы – 26 случаев (2017 – 22, 2016 – 17, 2015 – 24), из них 16 – ИМ с выраженной сердечной недостаточностью, кардиогенным шоком, а также нарушения мозгового кровообращения с нарушением витальных функций (2017- ИМ – 5 случаев).</w:t>
      </w:r>
    </w:p>
    <w:p w:rsidR="00ED7F17" w:rsidRDefault="00ED7F17" w:rsidP="00ED7F17">
      <w:pPr>
        <w:ind w:firstLine="709"/>
        <w:jc w:val="both"/>
      </w:pPr>
      <w:r>
        <w:t>Случав расхождения клинических и патологоанатомических диагнозов – 21случай (2017 – 33,2016 – 18).</w:t>
      </w:r>
    </w:p>
    <w:p w:rsidR="00ED7F17" w:rsidRDefault="00ED7F17" w:rsidP="00ED7F17">
      <w:pPr>
        <w:ind w:firstLine="709"/>
        <w:jc w:val="both"/>
      </w:pPr>
      <w:r>
        <w:rPr>
          <w:rFonts w:eastAsia="Cambria"/>
          <w:lang w:bidi="hi-IN"/>
        </w:rPr>
        <w:t>В связи с отсутствием нейрохирурга и сосудистого хирурга в ГБУЗ АО «Ахтубинская РБ» для</w:t>
      </w:r>
      <w:r>
        <w:t xml:space="preserve"> своевременного принятия решения о дальнейшей тактике ведения пациента все больные с гемодинамическими значимыми стенозами брахиоцефальных артерий, геморрагическими инсультами получают телемедицинские консультации сосудистого хирурга и нейрохирурга РСЦ в круглосуточном режиме.</w:t>
      </w:r>
    </w:p>
    <w:p w:rsidR="00ED7F17" w:rsidRDefault="00ED7F17" w:rsidP="00ED7F17">
      <w:pPr>
        <w:widowControl w:val="0"/>
        <w:ind w:firstLine="680"/>
        <w:jc w:val="both"/>
      </w:pPr>
      <w:r>
        <w:t xml:space="preserve">На догоспитальном этапе внедрено проведение тромболитической терапии пациентам с острым коронарным синдромом. </w:t>
      </w:r>
    </w:p>
    <w:p w:rsidR="00ED7F17" w:rsidRDefault="00ED7F17" w:rsidP="00ED7F17">
      <w:pPr>
        <w:widowControl w:val="0"/>
        <w:tabs>
          <w:tab w:val="left" w:pos="1134"/>
        </w:tabs>
        <w:suppressAutoHyphens w:val="0"/>
        <w:ind w:firstLine="709"/>
        <w:jc w:val="both"/>
      </w:pPr>
      <w:r>
        <w:rPr>
          <w:rFonts w:eastAsia="SimSun"/>
          <w:lang w:bidi="hi-IN"/>
        </w:rPr>
        <w:t xml:space="preserve">Сохраняется низким процент выполнения тромболитической терапии при ишемическом инсульте в связи с поздней обращаемостью пациентов за медицинской помощью, наличием противопоказаний для проведения ТЛТ. </w:t>
      </w:r>
    </w:p>
    <w:p w:rsidR="00ED7F17" w:rsidRDefault="00ED7F17" w:rsidP="00ED7F17">
      <w:pPr>
        <w:ind w:firstLine="709"/>
        <w:jc w:val="both"/>
      </w:pPr>
      <w:r>
        <w:t xml:space="preserve">На компьютерном томографе в 2018 году было выполнено 2429 исследований. Из них : </w:t>
      </w:r>
    </w:p>
    <w:p w:rsidR="00ED7F17" w:rsidRDefault="00ED7F17" w:rsidP="00ED7F17">
      <w:pPr>
        <w:ind w:firstLine="709"/>
        <w:jc w:val="both"/>
      </w:pPr>
      <w:r>
        <w:t>Головного мозга — 788</w:t>
      </w:r>
    </w:p>
    <w:p w:rsidR="00ED7F17" w:rsidRDefault="00ED7F17" w:rsidP="00ED7F17">
      <w:pPr>
        <w:ind w:firstLine="709"/>
        <w:jc w:val="both"/>
      </w:pPr>
      <w:r>
        <w:t>Органов грудной клетки — 987</w:t>
      </w:r>
    </w:p>
    <w:p w:rsidR="00ED7F17" w:rsidRDefault="00ED7F17" w:rsidP="00ED7F17">
      <w:pPr>
        <w:ind w:firstLine="709"/>
        <w:jc w:val="both"/>
      </w:pPr>
      <w:r>
        <w:t>Было выявлено ОНМК — 517, внутричерепных гематом- 12, онкопатологий - 3</w:t>
      </w:r>
    </w:p>
    <w:p w:rsidR="00ED7F17" w:rsidRDefault="00ED7F17" w:rsidP="00ED7F17">
      <w:pPr>
        <w:widowControl w:val="0"/>
        <w:tabs>
          <w:tab w:val="left" w:pos="1134"/>
        </w:tabs>
        <w:suppressAutoHyphens w:val="0"/>
        <w:ind w:firstLine="709"/>
        <w:jc w:val="both"/>
      </w:pPr>
      <w:r>
        <w:t>Эффективность использования компьютерного томографа низкая. Связано это с частыми поломками оборудования и длительным простоем - 112 дней в</w:t>
      </w:r>
      <w:r>
        <w:rPr>
          <w:rFonts w:eastAsia="SimSun"/>
          <w:lang w:bidi="hi-IN"/>
        </w:rPr>
        <w:t xml:space="preserve"> 2018 году. </w:t>
      </w:r>
    </w:p>
    <w:p w:rsidR="00ED7F17" w:rsidRDefault="00ED7F17" w:rsidP="00ED7F17">
      <w:pPr>
        <w:pStyle w:val="17"/>
        <w:spacing w:after="0" w:line="240" w:lineRule="auto"/>
        <w:ind w:left="0" w:firstLine="709"/>
        <w:jc w:val="both"/>
      </w:pPr>
      <w:r>
        <w:rPr>
          <w:rFonts w:ascii="Times New Roman" w:hAnsi="Times New Roman" w:cs="Times New Roman"/>
        </w:rPr>
        <w:t>Запланирована закупка анализаторов для определения маркеров некроза миокарда, тропонинового теста на 2 квартал 2019г.</w:t>
      </w:r>
    </w:p>
    <w:p w:rsidR="00ED7F17" w:rsidRDefault="00ED7F17" w:rsidP="00ED7F17">
      <w:pPr>
        <w:pStyle w:val="17"/>
        <w:spacing w:after="0" w:line="240" w:lineRule="auto"/>
        <w:ind w:left="0" w:firstLine="709"/>
        <w:jc w:val="both"/>
      </w:pPr>
      <w:r>
        <w:rPr>
          <w:rFonts w:ascii="Times New Roman" w:hAnsi="Times New Roman" w:cs="Times New Roman"/>
        </w:rPr>
        <w:t>В отделении имеется три ХОЛТЕР-ЭКГ, которые ежедневно используются по своему назначению, аппарат СМАД для суточного контроля артериальной гипертензии. Планируется закупка аппаратов Холтер и СМАД для амбулаторно-поликлинического звена на май 2019г.</w:t>
      </w:r>
    </w:p>
    <w:p w:rsidR="00ED7F17" w:rsidRDefault="00ED7F17" w:rsidP="00ED7F17">
      <w:pPr>
        <w:pStyle w:val="17"/>
        <w:spacing w:after="0" w:line="240" w:lineRule="auto"/>
        <w:ind w:left="0" w:firstLine="709"/>
        <w:jc w:val="both"/>
      </w:pPr>
      <w:r>
        <w:rPr>
          <w:rFonts w:ascii="Times New Roman" w:hAnsi="Times New Roman" w:cs="Times New Roman"/>
          <w:color w:val="000000"/>
        </w:rPr>
        <w:t>Дооснащение первичного сосудистого отделения на базе ГБУЗ АО «Ахтубинская РБ», созданного для оказания медицинской помощи больным с сердечно-сосудистыми заболеваниями и с острыми нарушениями мозгового кровообращения в 2019 году:</w:t>
      </w:r>
    </w:p>
    <w:p w:rsidR="00ED7F17" w:rsidRDefault="00ED7F17" w:rsidP="00ED7F17">
      <w:pPr>
        <w:pStyle w:val="17"/>
        <w:spacing w:after="0" w:line="240" w:lineRule="auto"/>
        <w:ind w:left="0" w:firstLine="709"/>
        <w:jc w:val="both"/>
        <w:rPr>
          <w:rFonts w:ascii="Times New Roman" w:hAnsi="Times New Roman" w:cs="Times New Roman"/>
          <w:color w:val="000000"/>
        </w:rPr>
      </w:pPr>
    </w:p>
    <w:tbl>
      <w:tblPr>
        <w:tblW w:w="0" w:type="auto"/>
        <w:tblInd w:w="-85" w:type="dxa"/>
        <w:tblLayout w:type="fixed"/>
        <w:tblCellMar>
          <w:left w:w="98" w:type="dxa"/>
        </w:tblCellMar>
        <w:tblLook w:val="04A0" w:firstRow="1" w:lastRow="0" w:firstColumn="1" w:lastColumn="0" w:noHBand="0" w:noVBand="1"/>
      </w:tblPr>
      <w:tblGrid>
        <w:gridCol w:w="5354"/>
        <w:gridCol w:w="2127"/>
        <w:gridCol w:w="2250"/>
      </w:tblGrid>
      <w:tr w:rsidR="00ED7F17" w:rsidTr="00ED7F17">
        <w:tc>
          <w:tcPr>
            <w:tcW w:w="5354" w:type="dxa"/>
            <w:tcBorders>
              <w:top w:val="single" w:sz="4" w:space="0" w:color="000001"/>
              <w:left w:val="single" w:sz="4" w:space="0" w:color="000001"/>
              <w:bottom w:val="single" w:sz="4" w:space="0" w:color="000001"/>
              <w:right w:val="nil"/>
            </w:tcBorders>
            <w:hideMark/>
          </w:tcPr>
          <w:p w:rsidR="00ED7F17" w:rsidRDefault="00ED7F17">
            <w:pPr>
              <w:ind w:firstLine="709"/>
              <w:jc w:val="both"/>
              <w:rPr>
                <w:rFonts w:ascii="Arial" w:eastAsia="Arial" w:hAnsi="Arial" w:cs="Arial"/>
                <w:sz w:val="22"/>
                <w:szCs w:val="22"/>
              </w:rPr>
            </w:pPr>
            <w:r>
              <w:rPr>
                <w:color w:val="000000"/>
              </w:rPr>
              <w:t>Наименование оборудования</w:t>
            </w:r>
          </w:p>
        </w:tc>
        <w:tc>
          <w:tcPr>
            <w:tcW w:w="2127" w:type="dxa"/>
            <w:tcBorders>
              <w:top w:val="single" w:sz="4" w:space="0" w:color="000001"/>
              <w:left w:val="single" w:sz="4" w:space="0" w:color="000001"/>
              <w:bottom w:val="single" w:sz="4" w:space="0" w:color="000001"/>
              <w:right w:val="nil"/>
            </w:tcBorders>
            <w:hideMark/>
          </w:tcPr>
          <w:p w:rsidR="00ED7F17" w:rsidRDefault="00ED7F17">
            <w:pPr>
              <w:jc w:val="center"/>
              <w:rPr>
                <w:rFonts w:ascii="Arial" w:eastAsia="Arial" w:hAnsi="Arial" w:cs="Arial"/>
                <w:sz w:val="22"/>
                <w:szCs w:val="22"/>
              </w:rPr>
            </w:pPr>
            <w:r>
              <w:rPr>
                <w:color w:val="000000"/>
              </w:rPr>
              <w:t>Количество</w:t>
            </w:r>
          </w:p>
        </w:tc>
        <w:tc>
          <w:tcPr>
            <w:tcW w:w="2250" w:type="dxa"/>
            <w:tcBorders>
              <w:top w:val="single" w:sz="4" w:space="0" w:color="000001"/>
              <w:left w:val="single" w:sz="4" w:space="0" w:color="000001"/>
              <w:bottom w:val="single" w:sz="4" w:space="0" w:color="000001"/>
              <w:right w:val="single" w:sz="4" w:space="0" w:color="000001"/>
            </w:tcBorders>
            <w:hideMark/>
          </w:tcPr>
          <w:p w:rsidR="00ED7F17" w:rsidRDefault="00ED7F17">
            <w:pPr>
              <w:jc w:val="center"/>
              <w:rPr>
                <w:rFonts w:ascii="Arial" w:eastAsia="Arial" w:hAnsi="Arial" w:cs="Arial"/>
                <w:sz w:val="22"/>
                <w:szCs w:val="22"/>
              </w:rPr>
            </w:pPr>
            <w:r>
              <w:rPr>
                <w:color w:val="000000"/>
              </w:rPr>
              <w:t>Стоимость, тыс.руб.</w:t>
            </w:r>
          </w:p>
        </w:tc>
      </w:tr>
      <w:tr w:rsidR="00ED7F17" w:rsidTr="00ED7F17">
        <w:tc>
          <w:tcPr>
            <w:tcW w:w="5354" w:type="dxa"/>
            <w:tcBorders>
              <w:top w:val="single" w:sz="4" w:space="0" w:color="000001"/>
              <w:left w:val="single" w:sz="4" w:space="0" w:color="000001"/>
              <w:bottom w:val="single" w:sz="4" w:space="0" w:color="000001"/>
              <w:right w:val="nil"/>
            </w:tcBorders>
            <w:hideMark/>
          </w:tcPr>
          <w:p w:rsidR="00ED7F17" w:rsidRDefault="00ED7F17">
            <w:pPr>
              <w:ind w:hanging="72"/>
              <w:jc w:val="both"/>
              <w:rPr>
                <w:rFonts w:ascii="Arial" w:eastAsia="Arial" w:hAnsi="Arial" w:cs="Arial"/>
                <w:sz w:val="22"/>
                <w:szCs w:val="22"/>
              </w:rPr>
            </w:pPr>
            <w:r>
              <w:rPr>
                <w:color w:val="000000"/>
              </w:rPr>
              <w:t>Монитор больного</w:t>
            </w:r>
          </w:p>
        </w:tc>
        <w:tc>
          <w:tcPr>
            <w:tcW w:w="2127" w:type="dxa"/>
            <w:tcBorders>
              <w:top w:val="single" w:sz="4" w:space="0" w:color="000001"/>
              <w:left w:val="single" w:sz="4" w:space="0" w:color="000001"/>
              <w:bottom w:val="single" w:sz="4" w:space="0" w:color="000001"/>
              <w:right w:val="nil"/>
            </w:tcBorders>
            <w:hideMark/>
          </w:tcPr>
          <w:p w:rsidR="00ED7F17" w:rsidRDefault="00ED7F17">
            <w:pPr>
              <w:ind w:left="-181"/>
              <w:jc w:val="center"/>
              <w:rPr>
                <w:rFonts w:ascii="Arial" w:eastAsia="Arial" w:hAnsi="Arial" w:cs="Arial"/>
                <w:sz w:val="22"/>
                <w:szCs w:val="22"/>
              </w:rPr>
            </w:pPr>
            <w:r>
              <w:rPr>
                <w:color w:val="000000"/>
              </w:rPr>
              <w:t>3</w:t>
            </w:r>
          </w:p>
        </w:tc>
        <w:tc>
          <w:tcPr>
            <w:tcW w:w="2250" w:type="dxa"/>
            <w:tcBorders>
              <w:top w:val="single" w:sz="4" w:space="0" w:color="000001"/>
              <w:left w:val="single" w:sz="4" w:space="0" w:color="000001"/>
              <w:bottom w:val="single" w:sz="4" w:space="0" w:color="000001"/>
              <w:right w:val="single" w:sz="4" w:space="0" w:color="000001"/>
            </w:tcBorders>
            <w:hideMark/>
          </w:tcPr>
          <w:p w:rsidR="00ED7F17" w:rsidRDefault="00ED7F17">
            <w:pPr>
              <w:ind w:left="-181"/>
              <w:jc w:val="center"/>
              <w:rPr>
                <w:rFonts w:ascii="Arial" w:eastAsia="Arial" w:hAnsi="Arial" w:cs="Arial"/>
                <w:sz w:val="22"/>
                <w:szCs w:val="22"/>
              </w:rPr>
            </w:pPr>
            <w:r>
              <w:rPr>
                <w:color w:val="000000"/>
              </w:rPr>
              <w:t>1 200,00</w:t>
            </w:r>
          </w:p>
        </w:tc>
      </w:tr>
      <w:tr w:rsidR="00ED7F17" w:rsidTr="00ED7F17">
        <w:tc>
          <w:tcPr>
            <w:tcW w:w="5354" w:type="dxa"/>
            <w:tcBorders>
              <w:top w:val="single" w:sz="4" w:space="0" w:color="000001"/>
              <w:left w:val="single" w:sz="4" w:space="0" w:color="000001"/>
              <w:bottom w:val="single" w:sz="4" w:space="0" w:color="000001"/>
              <w:right w:val="nil"/>
            </w:tcBorders>
            <w:hideMark/>
          </w:tcPr>
          <w:p w:rsidR="00ED7F17" w:rsidRDefault="00ED7F17">
            <w:pPr>
              <w:ind w:hanging="72"/>
              <w:jc w:val="both"/>
              <w:rPr>
                <w:rFonts w:ascii="Arial" w:eastAsia="Arial" w:hAnsi="Arial" w:cs="Arial"/>
                <w:sz w:val="22"/>
                <w:szCs w:val="22"/>
              </w:rPr>
            </w:pPr>
            <w:r>
              <w:rPr>
                <w:color w:val="000000"/>
              </w:rPr>
              <w:t>Монитор больного с расширенными возможностями оценки гемодинамики и дыхания</w:t>
            </w:r>
          </w:p>
        </w:tc>
        <w:tc>
          <w:tcPr>
            <w:tcW w:w="2127" w:type="dxa"/>
            <w:tcBorders>
              <w:top w:val="single" w:sz="4" w:space="0" w:color="000001"/>
              <w:left w:val="single" w:sz="4" w:space="0" w:color="000001"/>
              <w:bottom w:val="single" w:sz="4" w:space="0" w:color="000001"/>
              <w:right w:val="nil"/>
            </w:tcBorders>
            <w:hideMark/>
          </w:tcPr>
          <w:p w:rsidR="00ED7F17" w:rsidRDefault="00ED7F17">
            <w:pPr>
              <w:ind w:left="-181"/>
              <w:jc w:val="center"/>
              <w:rPr>
                <w:rFonts w:ascii="Arial" w:eastAsia="Arial" w:hAnsi="Arial" w:cs="Arial"/>
                <w:sz w:val="22"/>
                <w:szCs w:val="22"/>
              </w:rPr>
            </w:pPr>
            <w:r>
              <w:rPr>
                <w:color w:val="000000"/>
              </w:rPr>
              <w:t>1</w:t>
            </w:r>
          </w:p>
        </w:tc>
        <w:tc>
          <w:tcPr>
            <w:tcW w:w="2250" w:type="dxa"/>
            <w:tcBorders>
              <w:top w:val="single" w:sz="4" w:space="0" w:color="000001"/>
              <w:left w:val="single" w:sz="4" w:space="0" w:color="000001"/>
              <w:bottom w:val="single" w:sz="4" w:space="0" w:color="000001"/>
              <w:right w:val="single" w:sz="4" w:space="0" w:color="000001"/>
            </w:tcBorders>
            <w:hideMark/>
          </w:tcPr>
          <w:p w:rsidR="00ED7F17" w:rsidRDefault="00ED7F17">
            <w:pPr>
              <w:ind w:left="-181"/>
              <w:jc w:val="center"/>
              <w:rPr>
                <w:rFonts w:ascii="Arial" w:eastAsia="Arial" w:hAnsi="Arial" w:cs="Arial"/>
                <w:sz w:val="22"/>
                <w:szCs w:val="22"/>
              </w:rPr>
            </w:pPr>
            <w:r>
              <w:rPr>
                <w:color w:val="000000"/>
              </w:rPr>
              <w:t>600,00</w:t>
            </w:r>
          </w:p>
        </w:tc>
      </w:tr>
      <w:tr w:rsidR="00ED7F17" w:rsidTr="00ED7F17">
        <w:tc>
          <w:tcPr>
            <w:tcW w:w="5354" w:type="dxa"/>
            <w:tcBorders>
              <w:top w:val="single" w:sz="4" w:space="0" w:color="000001"/>
              <w:left w:val="single" w:sz="4" w:space="0" w:color="000001"/>
              <w:bottom w:val="single" w:sz="4" w:space="0" w:color="000001"/>
              <w:right w:val="nil"/>
            </w:tcBorders>
            <w:hideMark/>
          </w:tcPr>
          <w:p w:rsidR="00ED7F17" w:rsidRDefault="00ED7F17">
            <w:pPr>
              <w:ind w:hanging="72"/>
              <w:jc w:val="both"/>
              <w:rPr>
                <w:rFonts w:ascii="Arial" w:eastAsia="Arial" w:hAnsi="Arial" w:cs="Arial"/>
                <w:sz w:val="22"/>
                <w:szCs w:val="22"/>
              </w:rPr>
            </w:pPr>
            <w:r>
              <w:rPr>
                <w:color w:val="000000"/>
              </w:rPr>
              <w:t xml:space="preserve">Аппарат искусственной вентиляции легких </w:t>
            </w:r>
          </w:p>
        </w:tc>
        <w:tc>
          <w:tcPr>
            <w:tcW w:w="2127" w:type="dxa"/>
            <w:tcBorders>
              <w:top w:val="single" w:sz="4" w:space="0" w:color="000001"/>
              <w:left w:val="single" w:sz="4" w:space="0" w:color="000001"/>
              <w:bottom w:val="single" w:sz="4" w:space="0" w:color="000001"/>
              <w:right w:val="nil"/>
            </w:tcBorders>
            <w:hideMark/>
          </w:tcPr>
          <w:p w:rsidR="00ED7F17" w:rsidRDefault="00ED7F17">
            <w:pPr>
              <w:ind w:left="-181"/>
              <w:jc w:val="center"/>
              <w:rPr>
                <w:rFonts w:ascii="Arial" w:eastAsia="Arial" w:hAnsi="Arial" w:cs="Arial"/>
                <w:sz w:val="22"/>
                <w:szCs w:val="22"/>
              </w:rPr>
            </w:pPr>
            <w:r>
              <w:rPr>
                <w:color w:val="000000"/>
              </w:rPr>
              <w:t>1</w:t>
            </w:r>
          </w:p>
        </w:tc>
        <w:tc>
          <w:tcPr>
            <w:tcW w:w="2250" w:type="dxa"/>
            <w:tcBorders>
              <w:top w:val="single" w:sz="4" w:space="0" w:color="000001"/>
              <w:left w:val="single" w:sz="4" w:space="0" w:color="000001"/>
              <w:bottom w:val="single" w:sz="4" w:space="0" w:color="000001"/>
              <w:right w:val="single" w:sz="4" w:space="0" w:color="000001"/>
            </w:tcBorders>
            <w:hideMark/>
          </w:tcPr>
          <w:p w:rsidR="00ED7F17" w:rsidRDefault="00ED7F17">
            <w:pPr>
              <w:ind w:left="-181"/>
              <w:jc w:val="center"/>
              <w:rPr>
                <w:rFonts w:ascii="Arial" w:eastAsia="Arial" w:hAnsi="Arial" w:cs="Arial"/>
                <w:sz w:val="22"/>
                <w:szCs w:val="22"/>
              </w:rPr>
            </w:pPr>
            <w:r>
              <w:rPr>
                <w:color w:val="000000"/>
              </w:rPr>
              <w:t>2 000,00</w:t>
            </w:r>
          </w:p>
        </w:tc>
      </w:tr>
      <w:tr w:rsidR="00ED7F17" w:rsidTr="00ED7F17">
        <w:tc>
          <w:tcPr>
            <w:tcW w:w="5354" w:type="dxa"/>
            <w:tcBorders>
              <w:top w:val="single" w:sz="4" w:space="0" w:color="000001"/>
              <w:left w:val="single" w:sz="4" w:space="0" w:color="000001"/>
              <w:bottom w:val="single" w:sz="4" w:space="0" w:color="000001"/>
              <w:right w:val="nil"/>
            </w:tcBorders>
            <w:hideMark/>
          </w:tcPr>
          <w:p w:rsidR="00ED7F17" w:rsidRDefault="00ED7F17">
            <w:pPr>
              <w:ind w:hanging="72"/>
              <w:jc w:val="both"/>
              <w:rPr>
                <w:rFonts w:ascii="Arial" w:eastAsia="Arial" w:hAnsi="Arial" w:cs="Arial"/>
                <w:sz w:val="22"/>
                <w:szCs w:val="22"/>
              </w:rPr>
            </w:pPr>
            <w:r>
              <w:rPr>
                <w:color w:val="000000"/>
              </w:rPr>
              <w:t>Комплекс Холтер с регистраторами (3ед)</w:t>
            </w:r>
          </w:p>
        </w:tc>
        <w:tc>
          <w:tcPr>
            <w:tcW w:w="2127" w:type="dxa"/>
            <w:tcBorders>
              <w:top w:val="single" w:sz="4" w:space="0" w:color="000001"/>
              <w:left w:val="single" w:sz="4" w:space="0" w:color="000001"/>
              <w:bottom w:val="single" w:sz="4" w:space="0" w:color="000001"/>
              <w:right w:val="nil"/>
            </w:tcBorders>
            <w:hideMark/>
          </w:tcPr>
          <w:p w:rsidR="00ED7F17" w:rsidRDefault="00ED7F17">
            <w:pPr>
              <w:ind w:left="-181"/>
              <w:jc w:val="center"/>
              <w:rPr>
                <w:rFonts w:ascii="Arial" w:eastAsia="Arial" w:hAnsi="Arial" w:cs="Arial"/>
                <w:sz w:val="22"/>
                <w:szCs w:val="22"/>
              </w:rPr>
            </w:pPr>
            <w:r>
              <w:rPr>
                <w:color w:val="000000"/>
              </w:rPr>
              <w:t>1</w:t>
            </w:r>
          </w:p>
        </w:tc>
        <w:tc>
          <w:tcPr>
            <w:tcW w:w="2250" w:type="dxa"/>
            <w:tcBorders>
              <w:top w:val="single" w:sz="4" w:space="0" w:color="000001"/>
              <w:left w:val="single" w:sz="4" w:space="0" w:color="000001"/>
              <w:bottom w:val="single" w:sz="4" w:space="0" w:color="000001"/>
              <w:right w:val="single" w:sz="4" w:space="0" w:color="000001"/>
            </w:tcBorders>
            <w:hideMark/>
          </w:tcPr>
          <w:p w:rsidR="00ED7F17" w:rsidRDefault="00ED7F17">
            <w:pPr>
              <w:ind w:left="-181"/>
              <w:jc w:val="center"/>
              <w:rPr>
                <w:rFonts w:ascii="Arial" w:eastAsia="Arial" w:hAnsi="Arial" w:cs="Arial"/>
                <w:sz w:val="22"/>
                <w:szCs w:val="22"/>
              </w:rPr>
            </w:pPr>
            <w:r>
              <w:rPr>
                <w:color w:val="000000"/>
              </w:rPr>
              <w:t>460,00</w:t>
            </w:r>
          </w:p>
        </w:tc>
      </w:tr>
      <w:tr w:rsidR="00ED7F17" w:rsidTr="00ED7F17">
        <w:tc>
          <w:tcPr>
            <w:tcW w:w="5354" w:type="dxa"/>
            <w:tcBorders>
              <w:top w:val="single" w:sz="4" w:space="0" w:color="000001"/>
              <w:left w:val="single" w:sz="4" w:space="0" w:color="000001"/>
              <w:bottom w:val="single" w:sz="4" w:space="0" w:color="000001"/>
              <w:right w:val="nil"/>
            </w:tcBorders>
            <w:hideMark/>
          </w:tcPr>
          <w:p w:rsidR="00ED7F17" w:rsidRDefault="00ED7F17">
            <w:pPr>
              <w:ind w:hanging="72"/>
              <w:jc w:val="both"/>
              <w:rPr>
                <w:rFonts w:ascii="Arial" w:eastAsia="Arial" w:hAnsi="Arial" w:cs="Arial"/>
                <w:sz w:val="22"/>
                <w:szCs w:val="22"/>
              </w:rPr>
            </w:pPr>
            <w:r>
              <w:rPr>
                <w:color w:val="000000"/>
              </w:rPr>
              <w:t>Комплекс СМАД с регистраторами (3 ед)</w:t>
            </w:r>
          </w:p>
        </w:tc>
        <w:tc>
          <w:tcPr>
            <w:tcW w:w="2127" w:type="dxa"/>
            <w:tcBorders>
              <w:top w:val="single" w:sz="4" w:space="0" w:color="000001"/>
              <w:left w:val="single" w:sz="4" w:space="0" w:color="000001"/>
              <w:bottom w:val="single" w:sz="4" w:space="0" w:color="000001"/>
              <w:right w:val="nil"/>
            </w:tcBorders>
            <w:hideMark/>
          </w:tcPr>
          <w:p w:rsidR="00ED7F17" w:rsidRDefault="00ED7F17">
            <w:pPr>
              <w:ind w:left="-181"/>
              <w:jc w:val="center"/>
              <w:rPr>
                <w:rFonts w:ascii="Arial" w:eastAsia="Arial" w:hAnsi="Arial" w:cs="Arial"/>
                <w:sz w:val="22"/>
                <w:szCs w:val="22"/>
              </w:rPr>
            </w:pPr>
            <w:r>
              <w:rPr>
                <w:color w:val="000000"/>
              </w:rPr>
              <w:t>1</w:t>
            </w:r>
          </w:p>
        </w:tc>
        <w:tc>
          <w:tcPr>
            <w:tcW w:w="2250" w:type="dxa"/>
            <w:tcBorders>
              <w:top w:val="single" w:sz="4" w:space="0" w:color="000001"/>
              <w:left w:val="single" w:sz="4" w:space="0" w:color="000001"/>
              <w:bottom w:val="single" w:sz="4" w:space="0" w:color="000001"/>
              <w:right w:val="single" w:sz="4" w:space="0" w:color="000001"/>
            </w:tcBorders>
            <w:hideMark/>
          </w:tcPr>
          <w:p w:rsidR="00ED7F17" w:rsidRDefault="00ED7F17">
            <w:pPr>
              <w:ind w:left="-181"/>
              <w:jc w:val="center"/>
              <w:rPr>
                <w:rFonts w:ascii="Arial" w:eastAsia="Arial" w:hAnsi="Arial" w:cs="Arial"/>
                <w:sz w:val="22"/>
                <w:szCs w:val="22"/>
              </w:rPr>
            </w:pPr>
            <w:r>
              <w:rPr>
                <w:color w:val="000000"/>
              </w:rPr>
              <w:t>460,00</w:t>
            </w:r>
          </w:p>
        </w:tc>
      </w:tr>
      <w:tr w:rsidR="00ED7F17" w:rsidTr="00ED7F17">
        <w:tc>
          <w:tcPr>
            <w:tcW w:w="5354" w:type="dxa"/>
            <w:tcBorders>
              <w:top w:val="single" w:sz="4" w:space="0" w:color="000001"/>
              <w:left w:val="single" w:sz="4" w:space="0" w:color="000001"/>
              <w:bottom w:val="single" w:sz="4" w:space="0" w:color="000001"/>
              <w:right w:val="nil"/>
            </w:tcBorders>
          </w:tcPr>
          <w:p w:rsidR="00ED7F17" w:rsidRDefault="00ED7F17">
            <w:pPr>
              <w:snapToGrid w:val="0"/>
              <w:ind w:hanging="72"/>
              <w:jc w:val="both"/>
              <w:rPr>
                <w:color w:val="000000"/>
              </w:rPr>
            </w:pPr>
          </w:p>
        </w:tc>
        <w:tc>
          <w:tcPr>
            <w:tcW w:w="2127" w:type="dxa"/>
            <w:tcBorders>
              <w:top w:val="single" w:sz="4" w:space="0" w:color="000001"/>
              <w:left w:val="single" w:sz="4" w:space="0" w:color="000001"/>
              <w:bottom w:val="single" w:sz="4" w:space="0" w:color="000001"/>
              <w:right w:val="nil"/>
            </w:tcBorders>
          </w:tcPr>
          <w:p w:rsidR="00ED7F17" w:rsidRDefault="00ED7F17">
            <w:pPr>
              <w:snapToGrid w:val="0"/>
              <w:ind w:left="-181"/>
              <w:jc w:val="center"/>
              <w:rPr>
                <w:color w:val="000000"/>
              </w:rPr>
            </w:pPr>
          </w:p>
        </w:tc>
        <w:tc>
          <w:tcPr>
            <w:tcW w:w="2250" w:type="dxa"/>
            <w:tcBorders>
              <w:top w:val="single" w:sz="4" w:space="0" w:color="000001"/>
              <w:left w:val="single" w:sz="4" w:space="0" w:color="000001"/>
              <w:bottom w:val="single" w:sz="4" w:space="0" w:color="000001"/>
              <w:right w:val="single" w:sz="4" w:space="0" w:color="000001"/>
            </w:tcBorders>
            <w:hideMark/>
          </w:tcPr>
          <w:p w:rsidR="00ED7F17" w:rsidRDefault="00ED7F17">
            <w:pPr>
              <w:ind w:left="-181"/>
              <w:jc w:val="center"/>
              <w:rPr>
                <w:rFonts w:ascii="Arial" w:eastAsia="Arial" w:hAnsi="Arial" w:cs="Arial"/>
                <w:sz w:val="22"/>
                <w:szCs w:val="22"/>
              </w:rPr>
            </w:pPr>
            <w:r>
              <w:rPr>
                <w:color w:val="000000"/>
              </w:rPr>
              <w:t>4 720,00</w:t>
            </w:r>
          </w:p>
        </w:tc>
      </w:tr>
    </w:tbl>
    <w:p w:rsidR="00ED7F17" w:rsidRDefault="00ED7F17" w:rsidP="00ED7F17">
      <w:pPr>
        <w:ind w:left="720" w:firstLine="709"/>
        <w:jc w:val="both"/>
        <w:rPr>
          <w:rFonts w:eastAsia="Arial"/>
        </w:rPr>
      </w:pPr>
    </w:p>
    <w:p w:rsidR="00ED7F17" w:rsidRDefault="00ED7F17" w:rsidP="00ED7F17">
      <w:pPr>
        <w:pStyle w:val="17"/>
        <w:spacing w:after="0" w:line="240" w:lineRule="auto"/>
        <w:ind w:left="0" w:firstLine="709"/>
        <w:jc w:val="both"/>
      </w:pPr>
      <w:r>
        <w:rPr>
          <w:rFonts w:ascii="Times New Roman" w:hAnsi="Times New Roman" w:cs="Times New Roman"/>
          <w:color w:val="000000"/>
        </w:rPr>
        <w:t>На 2020-2024гг необходимо предусмотреть приобретение следующего оборудования:</w:t>
      </w:r>
    </w:p>
    <w:p w:rsidR="00ED7F17" w:rsidRDefault="00ED7F17" w:rsidP="00ED7F17">
      <w:pPr>
        <w:ind w:firstLine="709"/>
        <w:jc w:val="both"/>
      </w:pPr>
      <w:r>
        <w:t>- аппарат УЗИ экспертного класса с датчиками для проведения ЭХО-КС – 1 ед</w:t>
      </w:r>
    </w:p>
    <w:p w:rsidR="00ED7F17" w:rsidRDefault="00ED7F17" w:rsidP="00ED7F17">
      <w:pPr>
        <w:ind w:firstLine="709"/>
        <w:jc w:val="both"/>
      </w:pPr>
      <w:r>
        <w:t>- аппарат УЗИ переносной для проведения УЗДГ брахиоцефальных артерий пациентам с ОНМК – 1 ед</w:t>
      </w:r>
    </w:p>
    <w:p w:rsidR="00ED7F17" w:rsidRDefault="00ED7F17" w:rsidP="00ED7F17">
      <w:pPr>
        <w:ind w:firstLine="709"/>
        <w:jc w:val="both"/>
      </w:pPr>
      <w:r>
        <w:t>- ЭКГ аппарат – 2 ед</w:t>
      </w:r>
    </w:p>
    <w:p w:rsidR="00ED7F17" w:rsidRDefault="00ED7F17" w:rsidP="00ED7F17">
      <w:pPr>
        <w:ind w:firstLine="709"/>
        <w:jc w:val="both"/>
      </w:pPr>
      <w:r>
        <w:t>- компьютерный томограф</w:t>
      </w:r>
    </w:p>
    <w:p w:rsidR="00ED7F17" w:rsidRDefault="00ED7F17" w:rsidP="00ED7F17">
      <w:pPr>
        <w:ind w:firstLine="709"/>
        <w:jc w:val="both"/>
      </w:pPr>
    </w:p>
    <w:p w:rsidR="00ED7F17" w:rsidRDefault="00ED7F17" w:rsidP="00ED7F17">
      <w:pPr>
        <w:pStyle w:val="afc"/>
        <w:spacing w:after="0"/>
        <w:jc w:val="center"/>
        <w:rPr>
          <w:rFonts w:ascii="Times New Roman" w:hAnsi="Times New Roman" w:cs="Times New Roman"/>
          <w:color w:val="000000"/>
          <w:sz w:val="24"/>
          <w:szCs w:val="24"/>
        </w:rPr>
      </w:pPr>
    </w:p>
    <w:p w:rsidR="00ED7F17" w:rsidRDefault="00ED7F17" w:rsidP="00ED7F17">
      <w:pPr>
        <w:widowControl w:val="0"/>
        <w:ind w:right="-142"/>
        <w:contextualSpacing/>
        <w:jc w:val="center"/>
        <w:rPr>
          <w:rFonts w:ascii="Arial" w:hAnsi="Arial" w:cs="Arial"/>
          <w:sz w:val="22"/>
          <w:szCs w:val="22"/>
        </w:rPr>
      </w:pPr>
      <w:r>
        <w:rPr>
          <w:rFonts w:eastAsia="Arial Unicode MS"/>
          <w:b/>
          <w:bCs/>
          <w:color w:val="000000"/>
        </w:rPr>
        <w:t>Анализ оказания медицинской помощи пациентам с БСК в ПСО ГБУЗ АО «Городская клиническая больница №3 им. с.м. Кирова»</w:t>
      </w:r>
    </w:p>
    <w:p w:rsidR="00ED7F17" w:rsidRDefault="00ED7F17" w:rsidP="00ED7F17">
      <w:pPr>
        <w:pStyle w:val="afc"/>
        <w:spacing w:after="0" w:line="240" w:lineRule="auto"/>
        <w:jc w:val="center"/>
        <w:rPr>
          <w:rFonts w:ascii="Times New Roman" w:hAnsi="Times New Roman" w:cs="Times New Roman"/>
          <w:b/>
          <w:bCs/>
          <w:color w:val="000000"/>
          <w:sz w:val="24"/>
          <w:szCs w:val="24"/>
        </w:rPr>
      </w:pPr>
    </w:p>
    <w:p w:rsidR="00ED7F17" w:rsidRDefault="00ED7F17" w:rsidP="00ED7F17">
      <w:pPr>
        <w:tabs>
          <w:tab w:val="left" w:pos="1134"/>
        </w:tabs>
        <w:ind w:firstLine="709"/>
        <w:jc w:val="both"/>
        <w:rPr>
          <w:rFonts w:ascii="Arial" w:hAnsi="Arial" w:cs="Arial"/>
          <w:sz w:val="22"/>
          <w:szCs w:val="22"/>
        </w:rPr>
      </w:pPr>
      <w:r>
        <w:rPr>
          <w:color w:val="000000"/>
        </w:rPr>
        <w:t>Медицинская помощь больным с БСК в ГБУЗ АО «ГКБ№3» представлена в виде первичной специализированной медико-санитарной помощи и специализированной медицинской помощи в условиях круглосуточного стационара.</w:t>
      </w:r>
    </w:p>
    <w:p w:rsidR="00ED7F17" w:rsidRDefault="00ED7F17" w:rsidP="00ED7F17">
      <w:pPr>
        <w:tabs>
          <w:tab w:val="left" w:pos="1134"/>
        </w:tabs>
        <w:ind w:firstLine="709"/>
        <w:jc w:val="both"/>
      </w:pPr>
      <w:r>
        <w:rPr>
          <w:color w:val="000000"/>
        </w:rPr>
        <w:t>Первичная специализированная медицинская помощь: прием врача кардиолога и врача невролога в приемном отделении.</w:t>
      </w:r>
    </w:p>
    <w:p w:rsidR="00ED7F17" w:rsidRDefault="00ED7F17" w:rsidP="00ED7F17">
      <w:pPr>
        <w:tabs>
          <w:tab w:val="left" w:pos="1134"/>
        </w:tabs>
        <w:ind w:firstLine="709"/>
        <w:jc w:val="both"/>
      </w:pPr>
      <w:r>
        <w:t>Специализированная медицинская помощь представлена профильными отделениями: кардиологическое отделение для лечения больных острым инфарктом миокарда, двумя отделениями неотложной кардиологии и неврологическим отделением для лечения больных острым нарушением мозгового кровообращения, оказывающих помощь в экстренной форме.</w:t>
      </w:r>
    </w:p>
    <w:p w:rsidR="00ED7F17" w:rsidRDefault="00ED7F17" w:rsidP="00ED7F17">
      <w:pPr>
        <w:tabs>
          <w:tab w:val="left" w:pos="1134"/>
        </w:tabs>
        <w:ind w:firstLine="709"/>
        <w:jc w:val="both"/>
      </w:pPr>
      <w:r>
        <w:t>С 01.07.2013 г на базе ГБУЗ АО «ГКБ№3» развернуто первичное сосудистое отделение. В состав ПСО входит:</w:t>
      </w:r>
    </w:p>
    <w:p w:rsidR="00ED7F17" w:rsidRDefault="00ED7F17" w:rsidP="00ED7F17">
      <w:pPr>
        <w:tabs>
          <w:tab w:val="left" w:pos="1134"/>
        </w:tabs>
        <w:ind w:firstLine="709"/>
        <w:jc w:val="both"/>
      </w:pPr>
      <w:r>
        <w:t xml:space="preserve">- кардиологическое отделение на 67 коек кардиологического профиля, в том числе 12 коек блока интенсивной терапии и 7 коек сосудистой хирургии </w:t>
      </w:r>
    </w:p>
    <w:p w:rsidR="00ED7F17" w:rsidRDefault="00ED7F17" w:rsidP="00ED7F17">
      <w:pPr>
        <w:tabs>
          <w:tab w:val="left" w:pos="1134"/>
        </w:tabs>
        <w:ind w:firstLine="709"/>
        <w:jc w:val="both"/>
      </w:pPr>
      <w:r>
        <w:t>- неврологическое отделение на 56 коек неврологического профиля и 14 коек блока  интенсивной терапии.</w:t>
      </w:r>
    </w:p>
    <w:p w:rsidR="00ED7F17" w:rsidRDefault="00ED7F17" w:rsidP="00ED7F17">
      <w:pPr>
        <w:pStyle w:val="afc"/>
        <w:spacing w:after="0"/>
        <w:ind w:left="0" w:firstLine="709"/>
        <w:jc w:val="both"/>
      </w:pPr>
      <w:r>
        <w:rPr>
          <w:rFonts w:ascii="Times New Roman" w:hAnsi="Times New Roman" w:cs="Times New Roman"/>
          <w:color w:val="000000"/>
          <w:sz w:val="24"/>
          <w:szCs w:val="24"/>
        </w:rPr>
        <w:t>Пациенты, нуждающиеся в дальнейшей высокотехнологичной помощи, переводятся в ФГБУ «ФЦССХ» для проведения кардиохирургических операций</w:t>
      </w:r>
    </w:p>
    <w:p w:rsidR="00ED7F17" w:rsidRDefault="00ED7F17" w:rsidP="00ED7F17">
      <w:pPr>
        <w:pStyle w:val="afc"/>
        <w:spacing w:after="0"/>
        <w:jc w:val="both"/>
      </w:pPr>
      <w:r>
        <w:rPr>
          <w:rFonts w:ascii="Times New Roman" w:hAnsi="Times New Roman" w:cs="Times New Roman"/>
          <w:color w:val="000000"/>
          <w:sz w:val="24"/>
          <w:szCs w:val="24"/>
        </w:rPr>
        <w:t>В зону обслуживания ПСО ГКБ № 3 входит:</w:t>
      </w:r>
    </w:p>
    <w:p w:rsidR="00ED7F17" w:rsidRDefault="00ED7F17" w:rsidP="00ED7F17">
      <w:pPr>
        <w:ind w:firstLine="709"/>
      </w:pPr>
      <w:r>
        <w:rPr>
          <w:color w:val="000000"/>
        </w:rPr>
        <w:t xml:space="preserve">- </w:t>
      </w:r>
      <w:r>
        <w:rPr>
          <w:color w:val="000000"/>
          <w:u w:val="single"/>
        </w:rPr>
        <w:t>Трусовский район</w:t>
      </w:r>
      <w:r>
        <w:rPr>
          <w:color w:val="000000"/>
        </w:rPr>
        <w:t xml:space="preserve"> расположен на правом берегу </w:t>
      </w:r>
      <w:hyperlink r:id="rId68" w:history="1">
        <w:r>
          <w:rPr>
            <w:rStyle w:val="ac"/>
            <w:color w:val="000000"/>
          </w:rPr>
          <w:t>Волги</w:t>
        </w:r>
      </w:hyperlink>
      <w:r>
        <w:rPr>
          <w:color w:val="000000"/>
        </w:rPr>
        <w:t>, площадь 76 км</w:t>
      </w:r>
      <w:r>
        <w:rPr>
          <w:color w:val="000000"/>
          <w:vertAlign w:val="superscript"/>
        </w:rPr>
        <w:t>2</w:t>
      </w:r>
      <w:r>
        <w:rPr>
          <w:color w:val="000000"/>
        </w:rPr>
        <w:t>, численность населения 115 208.</w:t>
      </w:r>
    </w:p>
    <w:p w:rsidR="00ED7F17" w:rsidRDefault="00ED7F17" w:rsidP="00ED7F17">
      <w:pPr>
        <w:ind w:firstLine="709"/>
      </w:pPr>
      <w:r>
        <w:rPr>
          <w:color w:val="000000"/>
        </w:rPr>
        <w:t xml:space="preserve">- </w:t>
      </w:r>
      <w:r>
        <w:rPr>
          <w:color w:val="000000"/>
          <w:u w:val="single"/>
        </w:rPr>
        <w:t>Кировский район</w:t>
      </w:r>
      <w:r>
        <w:rPr>
          <w:color w:val="000000"/>
        </w:rPr>
        <w:t xml:space="preserve"> расположен в центральной части города на левом берегу </w:t>
      </w:r>
      <w:hyperlink r:id="rId69" w:history="1">
        <w:r>
          <w:rPr>
            <w:rStyle w:val="ac"/>
            <w:color w:val="000000"/>
          </w:rPr>
          <w:t>Волги</w:t>
        </w:r>
      </w:hyperlink>
      <w:r>
        <w:rPr>
          <w:color w:val="000000"/>
        </w:rPr>
        <w:t>, площадь 17,6 км², население 117 996</w:t>
      </w:r>
    </w:p>
    <w:p w:rsidR="00ED7F17" w:rsidRDefault="00ED7F17" w:rsidP="00ED7F17">
      <w:pPr>
        <w:ind w:firstLine="709"/>
      </w:pPr>
      <w:r>
        <w:rPr>
          <w:color w:val="000000"/>
          <w:u w:val="single"/>
        </w:rPr>
        <w:t>- Советсткий район</w:t>
      </w:r>
      <w:r>
        <w:rPr>
          <w:color w:val="000000"/>
        </w:rPr>
        <w:t xml:space="preserve"> расположен в юго-восточной части города на левом берегу </w:t>
      </w:r>
      <w:hyperlink r:id="rId70" w:history="1">
        <w:r>
          <w:rPr>
            <w:rStyle w:val="ac"/>
            <w:color w:val="000000"/>
          </w:rPr>
          <w:t>Волги</w:t>
        </w:r>
      </w:hyperlink>
      <w:r>
        <w:rPr>
          <w:color w:val="000000"/>
        </w:rPr>
        <w:t>, площадь 100км</w:t>
      </w:r>
      <w:r>
        <w:rPr>
          <w:color w:val="000000"/>
          <w:vertAlign w:val="superscript"/>
        </w:rPr>
        <w:t>2</w:t>
      </w:r>
      <w:r>
        <w:rPr>
          <w:color w:val="000000"/>
        </w:rPr>
        <w:t>,  население150 394</w:t>
      </w:r>
    </w:p>
    <w:p w:rsidR="00ED7F17" w:rsidRDefault="00ED7F17" w:rsidP="00ED7F17">
      <w:pPr>
        <w:pStyle w:val="af"/>
        <w:spacing w:before="0" w:after="0"/>
        <w:ind w:firstLine="709"/>
      </w:pPr>
      <w:r>
        <w:rPr>
          <w:color w:val="666666"/>
        </w:rPr>
        <w:t xml:space="preserve">- </w:t>
      </w:r>
      <w:r>
        <w:rPr>
          <w:color w:val="000000"/>
          <w:u w:val="single"/>
        </w:rPr>
        <w:t>Камызякский район</w:t>
      </w:r>
      <w:r>
        <w:rPr>
          <w:color w:val="000000"/>
        </w:rPr>
        <w:t xml:space="preserve"> расположен в пределах Прикаспийской низменности в южной части Астраханской области, площадь 349,3 тыс. га, население 47836</w:t>
      </w:r>
    </w:p>
    <w:p w:rsidR="00ED7F17" w:rsidRDefault="00ED7F17" w:rsidP="00ED7F17">
      <w:pPr>
        <w:ind w:firstLine="709"/>
      </w:pPr>
      <w:r>
        <w:t xml:space="preserve">- </w:t>
      </w:r>
      <w:r>
        <w:rPr>
          <w:u w:val="single"/>
        </w:rPr>
        <w:t>Икрянинский район</w:t>
      </w:r>
      <w:r>
        <w:t xml:space="preserve"> расположен в юго-западной части Астраханской, площадь 1,95 тыс. км², население 47 873 </w:t>
      </w:r>
    </w:p>
    <w:p w:rsidR="00ED7F17" w:rsidRDefault="00ED7F17" w:rsidP="00ED7F17">
      <w:pPr>
        <w:ind w:firstLine="709"/>
      </w:pPr>
      <w:r>
        <w:rPr>
          <w:color w:val="000000"/>
        </w:rPr>
        <w:t xml:space="preserve">- </w:t>
      </w:r>
      <w:r>
        <w:rPr>
          <w:color w:val="000000"/>
          <w:u w:val="single"/>
        </w:rPr>
        <w:t>Наримановский район</w:t>
      </w:r>
      <w:r>
        <w:rPr>
          <w:color w:val="000000"/>
        </w:rPr>
        <w:t xml:space="preserve"> (г. Нариманов, п. Волжский, п. Буруны, с. Линейное, с. Старокучергановка, с. Курченко, с. Николаевка) расположен в юго-западной части Прикаспийской низменности на правом берегу реки </w:t>
      </w:r>
      <w:hyperlink r:id="rId71" w:history="1">
        <w:r>
          <w:rPr>
            <w:rStyle w:val="ac"/>
            <w:color w:val="000000"/>
          </w:rPr>
          <w:t>Волги</w:t>
        </w:r>
      </w:hyperlink>
      <w:r>
        <w:rPr>
          <w:color w:val="000000"/>
        </w:rPr>
        <w:t>, площадь района 6,1 тыс. км², население 47 951</w:t>
      </w:r>
    </w:p>
    <w:p w:rsidR="00ED7F17" w:rsidRDefault="00ED7F17" w:rsidP="00ED7F17">
      <w:pPr>
        <w:ind w:firstLine="709"/>
      </w:pPr>
      <w:r>
        <w:t xml:space="preserve">- </w:t>
      </w:r>
      <w:r>
        <w:rPr>
          <w:u w:val="single"/>
        </w:rPr>
        <w:t>Приволжский район</w:t>
      </w:r>
      <w:r>
        <w:t xml:space="preserve"> (с. Татарская Башмаковка, п. Ассадулаево, с. Осыпной Бугор, с. Яксатово, с. Фунтово 1 и 2, п. Кирпичного завода, с. Евпраксино, с. Карагали), </w:t>
      </w:r>
      <w:r>
        <w:rPr>
          <w:color w:val="000000"/>
        </w:rPr>
        <w:t xml:space="preserve">расположен в юго-восточной части </w:t>
      </w:r>
      <w:hyperlink r:id="rId72" w:history="1">
        <w:r>
          <w:rPr>
            <w:rStyle w:val="ac"/>
            <w:color w:val="000000"/>
          </w:rPr>
          <w:t>Астраханской области</w:t>
        </w:r>
      </w:hyperlink>
      <w:r>
        <w:rPr>
          <w:color w:val="000000"/>
        </w:rPr>
        <w:t xml:space="preserve"> в дельте реки Волга, площадь 840,9 км², население 18621</w:t>
      </w:r>
    </w:p>
    <w:p w:rsidR="00ED7F17" w:rsidRDefault="00ED7F17" w:rsidP="00ED7F17">
      <w:pPr>
        <w:tabs>
          <w:tab w:val="left" w:pos="1134"/>
        </w:tabs>
        <w:ind w:firstLine="709"/>
        <w:jc w:val="both"/>
      </w:pPr>
      <w:r>
        <w:t xml:space="preserve">Ресурсы инфраструктуры службы. </w:t>
      </w:r>
    </w:p>
    <w:p w:rsidR="00ED7F17" w:rsidRDefault="00ED7F17" w:rsidP="00ED7F17">
      <w:pPr>
        <w:suppressAutoHyphens w:val="0"/>
        <w:ind w:firstLine="709"/>
        <w:jc w:val="both"/>
      </w:pPr>
      <w:r>
        <w:rPr>
          <w:rFonts w:eastAsia="Calibri"/>
          <w:color w:val="auto"/>
          <w:lang w:eastAsia="en-US"/>
        </w:rPr>
        <w:t>Медицинская помощь пациентам при ОКС и ОНМК организована в соответствии с действующими порядками ее оказания и схемами маршрутизации. Имеющееся медицинское оборудование по большинству позиций соответствует стандарту оснащения первичного сосудистого отделения.</w:t>
      </w:r>
    </w:p>
    <w:p w:rsidR="00ED7F17" w:rsidRDefault="00ED7F17" w:rsidP="00ED7F17">
      <w:pPr>
        <w:tabs>
          <w:tab w:val="left" w:pos="1134"/>
        </w:tabs>
        <w:ind w:firstLine="709"/>
        <w:jc w:val="both"/>
      </w:pPr>
      <w:r>
        <w:t>Для проведения лабораторных и функциональных исследований, с целью обеспечения потребностей работы больницы в целом и ПСО в частности в ГБУЗ АО «ГКБ№3» организована работа следующих подразделений:</w:t>
      </w:r>
    </w:p>
    <w:p w:rsidR="00ED7F17" w:rsidRDefault="00ED7F17" w:rsidP="00ED7F17">
      <w:pPr>
        <w:pStyle w:val="afc"/>
        <w:spacing w:after="0" w:line="240" w:lineRule="auto"/>
        <w:ind w:left="0" w:firstLine="709"/>
        <w:jc w:val="both"/>
      </w:pPr>
      <w:r>
        <w:rPr>
          <w:rFonts w:ascii="Times New Roman" w:hAnsi="Times New Roman" w:cs="Times New Roman"/>
          <w:sz w:val="24"/>
          <w:szCs w:val="24"/>
        </w:rPr>
        <w:t xml:space="preserve">- клинико-диагностическая лаборатория: общие анализы, биохимические анализы, коагулограмма; </w:t>
      </w:r>
    </w:p>
    <w:p w:rsidR="00ED7F17" w:rsidRDefault="00ED7F17" w:rsidP="00ED7F17">
      <w:pPr>
        <w:tabs>
          <w:tab w:val="left" w:pos="1134"/>
        </w:tabs>
        <w:ind w:firstLine="709"/>
        <w:jc w:val="both"/>
      </w:pPr>
      <w:r>
        <w:t>- отделение функциональной диагностики: ЭКГ, холтеровское мониторирование, СМАД;</w:t>
      </w:r>
    </w:p>
    <w:p w:rsidR="00ED7F17" w:rsidRDefault="00ED7F17" w:rsidP="00ED7F17">
      <w:pPr>
        <w:tabs>
          <w:tab w:val="left" w:pos="1134"/>
        </w:tabs>
        <w:ind w:firstLine="709"/>
        <w:jc w:val="both"/>
      </w:pPr>
      <w:r>
        <w:t>- отделение УЗИ диагностики: УЗИ сердца, УЗДГ сосудов, органов брюшной полости, малого таза;</w:t>
      </w:r>
    </w:p>
    <w:p w:rsidR="00ED7F17" w:rsidRDefault="00ED7F17" w:rsidP="00ED7F17">
      <w:pPr>
        <w:tabs>
          <w:tab w:val="left" w:pos="1134"/>
        </w:tabs>
        <w:ind w:firstLine="709"/>
        <w:jc w:val="both"/>
      </w:pPr>
      <w:r>
        <w:t>- рентгенологическое отделение с возможностью использования рентгенэндоваскулярных методов, с кабинетами флюорографии, маммографии, компьютерной томографии (рентген ОГК, ФГ ОГК, КТ ОГК, ОБП, забрюшинного пространства);</w:t>
      </w:r>
    </w:p>
    <w:p w:rsidR="00ED7F17" w:rsidRDefault="00ED7F17" w:rsidP="00ED7F17">
      <w:pPr>
        <w:tabs>
          <w:tab w:val="left" w:pos="1134"/>
        </w:tabs>
        <w:ind w:firstLine="709"/>
        <w:jc w:val="both"/>
      </w:pPr>
      <w:r>
        <w:t>- также функционируют эндоскопическое отделение, физиотерапевтическое отделение и отделение переливания крови.</w:t>
      </w:r>
      <w:r>
        <w:rPr>
          <w:lang w:eastAsia="ru-RU"/>
        </w:rPr>
        <w:t xml:space="preserve"> </w:t>
      </w:r>
    </w:p>
    <w:p w:rsidR="00ED7F17" w:rsidRDefault="00ED7F17" w:rsidP="00ED7F17">
      <w:pPr>
        <w:ind w:firstLine="567"/>
        <w:jc w:val="both"/>
      </w:pPr>
      <w:r>
        <w:t>За первый квартал 2019 года в ПСО пролечено 462 пациента в отделении для больных острым инфарктом миокарда (из них 131 с инфарктом миокарда и 152 с нестабильной стенокардией) и 580 человек в отделении для больных острым нарушением мозгового кровообращения (из них 370 с ишемическим инсультом, 93 с геморрагическим инсультом, 111 с преходящим нарушением мозгового кровообращения). В кардиологии ПСО летальность составила 6%, летальность от острого инфаркта миокарда - 12,9% (целевой уровень 10%), досуточная летальность в отделении - 39,2%.  В неврологии ПСО летальность составила 32,3% (целевой уровень 19%), при ишемическом инсульте 24,8%, при геморрагическом - 62,3%.</w:t>
      </w:r>
    </w:p>
    <w:p w:rsidR="00ED7F17" w:rsidRDefault="00ED7F17" w:rsidP="00ED7F17">
      <w:pPr>
        <w:suppressAutoHyphens w:val="0"/>
        <w:ind w:firstLine="709"/>
        <w:jc w:val="both"/>
      </w:pPr>
      <w:r>
        <w:rPr>
          <w:rFonts w:eastAsia="Calibri"/>
          <w:color w:val="auto"/>
          <w:lang w:eastAsia="en-US"/>
        </w:rPr>
        <w:t>В 2018 году на 130 койках, из которых 70 кардиологического и 60 неврологического профилей, пролечено 4165 пациентов пациентов с острой сосудистой патологией.</w:t>
      </w:r>
    </w:p>
    <w:p w:rsidR="00ED7F17" w:rsidRDefault="00ED7F17" w:rsidP="00ED7F17">
      <w:pPr>
        <w:suppressAutoHyphens w:val="0"/>
        <w:ind w:firstLine="709"/>
        <w:jc w:val="both"/>
      </w:pPr>
      <w:r>
        <w:rPr>
          <w:rFonts w:eastAsia="Calibri"/>
          <w:color w:val="auto"/>
          <w:lang w:eastAsia="en-US"/>
        </w:rPr>
        <w:t>За 2018 год в ПСО пролечено 1513  пациентов с ОКС, что на 207 меньше,  чем за предыдущий год (1738).</w:t>
      </w:r>
    </w:p>
    <w:p w:rsidR="00ED7F17" w:rsidRDefault="00ED7F17" w:rsidP="00ED7F17">
      <w:pPr>
        <w:suppressAutoHyphens w:val="0"/>
        <w:ind w:firstLine="709"/>
        <w:jc w:val="both"/>
      </w:pPr>
      <w:r>
        <w:rPr>
          <w:rFonts w:eastAsia="Calibri"/>
          <w:color w:val="auto"/>
          <w:lang w:eastAsia="en-US"/>
        </w:rPr>
        <w:t>Из числа пациентов с ОКС с подъемом ST 9,8% по показаниям получили тромболитическую терапию при целевом значении не менее 25%.</w:t>
      </w:r>
    </w:p>
    <w:p w:rsidR="00ED7F17" w:rsidRDefault="00ED7F17" w:rsidP="00ED7F17">
      <w:pPr>
        <w:suppressAutoHyphens w:val="0"/>
        <w:ind w:firstLine="709"/>
        <w:jc w:val="both"/>
      </w:pPr>
      <w:r>
        <w:rPr>
          <w:rFonts w:eastAsia="Calibri"/>
          <w:color w:val="auto"/>
          <w:lang w:eastAsia="en-US"/>
        </w:rPr>
        <w:t xml:space="preserve">Среди пациентов с ОКС с подъемом сегмента ST чрескожные коронарные вмешательства выполнены 69,7% пациентов (при целевом значении не менее 55%) и среди пациентов с ОКС без подъема сегмента ST - 19% (при целевом значении не менее 35%). </w:t>
      </w:r>
    </w:p>
    <w:p w:rsidR="00ED7F17" w:rsidRDefault="00ED7F17" w:rsidP="00ED7F17">
      <w:pPr>
        <w:suppressAutoHyphens w:val="0"/>
        <w:ind w:firstLine="709"/>
        <w:jc w:val="both"/>
      </w:pPr>
      <w:r>
        <w:rPr>
          <w:rFonts w:eastAsia="Calibri"/>
          <w:color w:val="auto"/>
          <w:lang w:eastAsia="en-US"/>
        </w:rPr>
        <w:t>Вследствие несвоевременного обращения пациентов с ОКС за медицинской помощью в стационаре умерло 10,6%. Это на 33 человека меньше 2017 года, в котором показатель летальности составлял 11,2%. Среди умерших от ОКС доля лиц трудоспособного возраста снизилась и  составила 8% при целевом значении не более 25% (в 2017 г. – 9,8%).</w:t>
      </w:r>
    </w:p>
    <w:p w:rsidR="00ED7F17" w:rsidRDefault="00ED7F17" w:rsidP="00ED7F17">
      <w:pPr>
        <w:suppressAutoHyphens w:val="0"/>
        <w:ind w:firstLine="709"/>
        <w:jc w:val="both"/>
      </w:pPr>
      <w:r>
        <w:rPr>
          <w:rFonts w:eastAsia="Calibri"/>
          <w:color w:val="auto"/>
          <w:lang w:eastAsia="en-US"/>
        </w:rPr>
        <w:t>С острыми нарушениями мозгового кровообращения в ПСО госпитализировано 2652 пациента, что на 207 больше 2017 года (2445). Из них 1795 пациентов (67%) с ишемическим инсультом, что на 183 человека больше предыдущего года, а также 375 человека (14%) с геморрагическим инсультом, что на 3 больше 2017 года.</w:t>
      </w:r>
    </w:p>
    <w:p w:rsidR="00ED7F17" w:rsidRDefault="00ED7F17" w:rsidP="00ED7F17">
      <w:pPr>
        <w:suppressAutoHyphens w:val="0"/>
        <w:ind w:firstLine="709"/>
        <w:jc w:val="both"/>
        <w:rPr>
          <w:rFonts w:eastAsia="Calibri"/>
          <w:color w:val="auto"/>
          <w:lang w:eastAsia="en-US"/>
        </w:rPr>
      </w:pPr>
    </w:p>
    <w:p w:rsidR="00ED7F17" w:rsidRDefault="00ED7F17" w:rsidP="00ED7F17">
      <w:pPr>
        <w:suppressAutoHyphens w:val="0"/>
        <w:ind w:firstLine="709"/>
        <w:jc w:val="both"/>
        <w:rPr>
          <w:rFonts w:eastAsia="Calibri"/>
          <w:color w:val="auto"/>
          <w:lang w:eastAsia="en-US"/>
        </w:rPr>
      </w:pPr>
    </w:p>
    <w:p w:rsidR="00ED7F17" w:rsidRDefault="00ED7F17" w:rsidP="00ED7F17">
      <w:pPr>
        <w:widowControl w:val="0"/>
        <w:tabs>
          <w:tab w:val="left" w:pos="1134"/>
        </w:tabs>
        <w:suppressAutoHyphens w:val="0"/>
        <w:ind w:firstLine="709"/>
        <w:jc w:val="both"/>
        <w:rPr>
          <w:rFonts w:ascii="Arial" w:eastAsia="Arial" w:hAnsi="Arial" w:cs="Arial"/>
          <w:sz w:val="22"/>
          <w:szCs w:val="22"/>
        </w:rPr>
      </w:pPr>
      <w:r>
        <w:rPr>
          <w:rFonts w:eastAsia="SimSun"/>
          <w:lang w:bidi="hi-IN"/>
        </w:rPr>
        <w:t>Анализ работы неврологического отделения</w:t>
      </w:r>
      <w:r>
        <w:t xml:space="preserve"> ПСО ГБУЗ АО ГКБ №3</w:t>
      </w:r>
    </w:p>
    <w:tbl>
      <w:tblPr>
        <w:tblW w:w="0" w:type="auto"/>
        <w:tblInd w:w="-15" w:type="dxa"/>
        <w:tblLayout w:type="fixed"/>
        <w:tblCellMar>
          <w:left w:w="103" w:type="dxa"/>
        </w:tblCellMar>
        <w:tblLook w:val="04A0" w:firstRow="1" w:lastRow="0" w:firstColumn="1" w:lastColumn="0" w:noHBand="0" w:noVBand="1"/>
      </w:tblPr>
      <w:tblGrid>
        <w:gridCol w:w="2002"/>
        <w:gridCol w:w="1442"/>
        <w:gridCol w:w="1598"/>
        <w:gridCol w:w="1598"/>
        <w:gridCol w:w="1598"/>
        <w:gridCol w:w="1641"/>
      </w:tblGrid>
      <w:tr w:rsidR="00ED7F17" w:rsidTr="00ED7F17">
        <w:trPr>
          <w:trHeight w:val="335"/>
        </w:trPr>
        <w:tc>
          <w:tcPr>
            <w:tcW w:w="2002" w:type="dxa"/>
            <w:tcBorders>
              <w:top w:val="single" w:sz="4" w:space="0" w:color="000000"/>
              <w:left w:val="single" w:sz="4" w:space="0" w:color="000000"/>
              <w:bottom w:val="single" w:sz="4" w:space="0" w:color="000000"/>
              <w:right w:val="nil"/>
            </w:tcBorders>
          </w:tcPr>
          <w:p w:rsidR="00ED7F17" w:rsidRDefault="00ED7F17">
            <w:pPr>
              <w:widowControl w:val="0"/>
              <w:tabs>
                <w:tab w:val="left" w:pos="1134"/>
              </w:tabs>
              <w:suppressAutoHyphens w:val="0"/>
              <w:snapToGrid w:val="0"/>
              <w:jc w:val="both"/>
              <w:rPr>
                <w:rFonts w:eastAsia="SimSun"/>
                <w:sz w:val="20"/>
                <w:szCs w:val="20"/>
                <w:lang w:bidi="hi-IN"/>
              </w:rPr>
            </w:pPr>
          </w:p>
        </w:tc>
        <w:tc>
          <w:tcPr>
            <w:tcW w:w="1442"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b/>
                <w:sz w:val="20"/>
                <w:szCs w:val="20"/>
                <w:lang w:bidi="hi-IN"/>
              </w:rPr>
              <w:t>2018</w:t>
            </w:r>
          </w:p>
        </w:tc>
        <w:tc>
          <w:tcPr>
            <w:tcW w:w="1598"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b/>
                <w:sz w:val="20"/>
                <w:szCs w:val="20"/>
                <w:lang w:bidi="hi-IN"/>
              </w:rPr>
              <w:t>2017</w:t>
            </w:r>
          </w:p>
        </w:tc>
        <w:tc>
          <w:tcPr>
            <w:tcW w:w="1598"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b/>
                <w:sz w:val="20"/>
                <w:szCs w:val="20"/>
                <w:lang w:bidi="hi-IN"/>
              </w:rPr>
              <w:t>2016</w:t>
            </w:r>
          </w:p>
        </w:tc>
        <w:tc>
          <w:tcPr>
            <w:tcW w:w="1598"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b/>
                <w:sz w:val="20"/>
                <w:szCs w:val="20"/>
                <w:lang w:bidi="hi-IN"/>
              </w:rPr>
              <w:t>2015</w:t>
            </w:r>
          </w:p>
        </w:tc>
        <w:tc>
          <w:tcPr>
            <w:tcW w:w="1641" w:type="dxa"/>
            <w:tcBorders>
              <w:top w:val="single" w:sz="4" w:space="0" w:color="000000"/>
              <w:left w:val="single" w:sz="4" w:space="0" w:color="000000"/>
              <w:bottom w:val="single" w:sz="4" w:space="0" w:color="000000"/>
              <w:right w:val="single" w:sz="4" w:space="0" w:color="000000"/>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b/>
                <w:sz w:val="20"/>
                <w:szCs w:val="20"/>
                <w:lang w:bidi="hi-IN"/>
              </w:rPr>
              <w:t>2014</w:t>
            </w:r>
          </w:p>
        </w:tc>
      </w:tr>
      <w:tr w:rsidR="00ED7F17" w:rsidTr="00ED7F17">
        <w:tc>
          <w:tcPr>
            <w:tcW w:w="2002" w:type="dxa"/>
            <w:tcBorders>
              <w:top w:val="single" w:sz="4" w:space="0" w:color="000000"/>
              <w:left w:val="single" w:sz="4" w:space="0" w:color="000000"/>
              <w:bottom w:val="single" w:sz="4" w:space="0" w:color="000000"/>
              <w:right w:val="nil"/>
            </w:tcBorders>
            <w:hideMark/>
          </w:tcPr>
          <w:p w:rsidR="00ED7F17" w:rsidRDefault="00ED7F17">
            <w:pPr>
              <w:widowControl w:val="0"/>
              <w:tabs>
                <w:tab w:val="left" w:pos="1134"/>
              </w:tabs>
              <w:suppressAutoHyphens w:val="0"/>
              <w:jc w:val="both"/>
              <w:rPr>
                <w:rFonts w:ascii="Arial" w:eastAsia="Arial" w:hAnsi="Arial" w:cs="Arial"/>
                <w:sz w:val="22"/>
                <w:szCs w:val="22"/>
              </w:rPr>
            </w:pPr>
            <w:r>
              <w:rPr>
                <w:rFonts w:eastAsia="SimSun"/>
                <w:sz w:val="20"/>
                <w:szCs w:val="20"/>
                <w:lang w:bidi="hi-IN"/>
              </w:rPr>
              <w:t>Работа койки факт</w:t>
            </w:r>
          </w:p>
        </w:tc>
        <w:tc>
          <w:tcPr>
            <w:tcW w:w="1442"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385,0</w:t>
            </w:r>
          </w:p>
        </w:tc>
        <w:tc>
          <w:tcPr>
            <w:tcW w:w="1598"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387,7</w:t>
            </w:r>
          </w:p>
        </w:tc>
        <w:tc>
          <w:tcPr>
            <w:tcW w:w="1598"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304,4</w:t>
            </w:r>
          </w:p>
        </w:tc>
        <w:tc>
          <w:tcPr>
            <w:tcW w:w="1598"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343,2</w:t>
            </w:r>
          </w:p>
        </w:tc>
        <w:tc>
          <w:tcPr>
            <w:tcW w:w="1641" w:type="dxa"/>
            <w:tcBorders>
              <w:top w:val="single" w:sz="4" w:space="0" w:color="000000"/>
              <w:left w:val="single" w:sz="4" w:space="0" w:color="000000"/>
              <w:bottom w:val="single" w:sz="4" w:space="0" w:color="000000"/>
              <w:right w:val="single" w:sz="4" w:space="0" w:color="000000"/>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360,2</w:t>
            </w:r>
          </w:p>
        </w:tc>
      </w:tr>
      <w:tr w:rsidR="00ED7F17" w:rsidTr="00ED7F17">
        <w:tc>
          <w:tcPr>
            <w:tcW w:w="2002" w:type="dxa"/>
            <w:tcBorders>
              <w:top w:val="single" w:sz="4" w:space="0" w:color="000000"/>
              <w:left w:val="single" w:sz="4" w:space="0" w:color="000000"/>
              <w:bottom w:val="single" w:sz="4" w:space="0" w:color="000000"/>
              <w:right w:val="nil"/>
            </w:tcBorders>
            <w:hideMark/>
          </w:tcPr>
          <w:p w:rsidR="00ED7F17" w:rsidRDefault="00ED7F17">
            <w:pPr>
              <w:widowControl w:val="0"/>
              <w:tabs>
                <w:tab w:val="left" w:pos="1134"/>
              </w:tabs>
              <w:suppressAutoHyphens w:val="0"/>
              <w:jc w:val="both"/>
              <w:rPr>
                <w:rFonts w:ascii="Arial" w:eastAsia="Arial" w:hAnsi="Arial" w:cs="Arial"/>
                <w:sz w:val="22"/>
                <w:szCs w:val="22"/>
              </w:rPr>
            </w:pPr>
            <w:r>
              <w:rPr>
                <w:rFonts w:eastAsia="SimSun"/>
                <w:sz w:val="20"/>
                <w:szCs w:val="20"/>
                <w:lang w:bidi="hi-IN"/>
              </w:rPr>
              <w:t>Поступило</w:t>
            </w:r>
          </w:p>
        </w:tc>
        <w:tc>
          <w:tcPr>
            <w:tcW w:w="1442"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2358</w:t>
            </w:r>
          </w:p>
        </w:tc>
        <w:tc>
          <w:tcPr>
            <w:tcW w:w="1598"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2256</w:t>
            </w:r>
          </w:p>
        </w:tc>
        <w:tc>
          <w:tcPr>
            <w:tcW w:w="1598"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2181</w:t>
            </w:r>
          </w:p>
        </w:tc>
        <w:tc>
          <w:tcPr>
            <w:tcW w:w="1598"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2223</w:t>
            </w:r>
          </w:p>
        </w:tc>
        <w:tc>
          <w:tcPr>
            <w:tcW w:w="1641" w:type="dxa"/>
            <w:tcBorders>
              <w:top w:val="single" w:sz="4" w:space="0" w:color="000000"/>
              <w:left w:val="single" w:sz="4" w:space="0" w:color="000000"/>
              <w:bottom w:val="single" w:sz="4" w:space="0" w:color="000000"/>
              <w:right w:val="single" w:sz="4" w:space="0" w:color="000000"/>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2388</w:t>
            </w:r>
          </w:p>
        </w:tc>
      </w:tr>
      <w:tr w:rsidR="00ED7F17" w:rsidTr="00ED7F17">
        <w:tc>
          <w:tcPr>
            <w:tcW w:w="2002" w:type="dxa"/>
            <w:tcBorders>
              <w:top w:val="single" w:sz="4" w:space="0" w:color="000000"/>
              <w:left w:val="single" w:sz="4" w:space="0" w:color="000000"/>
              <w:bottom w:val="single" w:sz="4" w:space="0" w:color="000000"/>
              <w:right w:val="nil"/>
            </w:tcBorders>
            <w:hideMark/>
          </w:tcPr>
          <w:p w:rsidR="00ED7F17" w:rsidRDefault="00ED7F17">
            <w:pPr>
              <w:widowControl w:val="0"/>
              <w:tabs>
                <w:tab w:val="left" w:pos="1134"/>
              </w:tabs>
              <w:suppressAutoHyphens w:val="0"/>
              <w:jc w:val="both"/>
              <w:rPr>
                <w:rFonts w:ascii="Arial" w:eastAsia="Arial" w:hAnsi="Arial" w:cs="Arial"/>
                <w:sz w:val="22"/>
                <w:szCs w:val="22"/>
              </w:rPr>
            </w:pPr>
            <w:r>
              <w:rPr>
                <w:rFonts w:eastAsia="SimSun"/>
                <w:sz w:val="20"/>
                <w:szCs w:val="20"/>
                <w:lang w:bidi="hi-IN"/>
              </w:rPr>
              <w:t>Выбыло</w:t>
            </w:r>
          </w:p>
        </w:tc>
        <w:tc>
          <w:tcPr>
            <w:tcW w:w="1442"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2659</w:t>
            </w:r>
          </w:p>
        </w:tc>
        <w:tc>
          <w:tcPr>
            <w:tcW w:w="1598"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2434</w:t>
            </w:r>
          </w:p>
        </w:tc>
        <w:tc>
          <w:tcPr>
            <w:tcW w:w="1598"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2315</w:t>
            </w:r>
          </w:p>
        </w:tc>
        <w:tc>
          <w:tcPr>
            <w:tcW w:w="1598"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2318</w:t>
            </w:r>
          </w:p>
        </w:tc>
        <w:tc>
          <w:tcPr>
            <w:tcW w:w="1641" w:type="dxa"/>
            <w:tcBorders>
              <w:top w:val="single" w:sz="4" w:space="0" w:color="000000"/>
              <w:left w:val="single" w:sz="4" w:space="0" w:color="000000"/>
              <w:bottom w:val="single" w:sz="4" w:space="0" w:color="000000"/>
              <w:right w:val="single" w:sz="4" w:space="0" w:color="000000"/>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2484</w:t>
            </w:r>
          </w:p>
        </w:tc>
      </w:tr>
      <w:tr w:rsidR="00ED7F17" w:rsidTr="00ED7F17">
        <w:tc>
          <w:tcPr>
            <w:tcW w:w="2002" w:type="dxa"/>
            <w:tcBorders>
              <w:top w:val="single" w:sz="4" w:space="0" w:color="000000"/>
              <w:left w:val="single" w:sz="4" w:space="0" w:color="000000"/>
              <w:bottom w:val="single" w:sz="4" w:space="0" w:color="000000"/>
              <w:right w:val="nil"/>
            </w:tcBorders>
            <w:hideMark/>
          </w:tcPr>
          <w:p w:rsidR="00ED7F17" w:rsidRDefault="00ED7F17">
            <w:pPr>
              <w:widowControl w:val="0"/>
              <w:tabs>
                <w:tab w:val="left" w:pos="1134"/>
              </w:tabs>
              <w:suppressAutoHyphens w:val="0"/>
              <w:jc w:val="both"/>
              <w:rPr>
                <w:rFonts w:ascii="Arial" w:eastAsia="Arial" w:hAnsi="Arial" w:cs="Arial"/>
                <w:sz w:val="22"/>
                <w:szCs w:val="22"/>
              </w:rPr>
            </w:pPr>
            <w:r>
              <w:rPr>
                <w:rFonts w:eastAsia="SimSun"/>
                <w:sz w:val="20"/>
                <w:szCs w:val="20"/>
                <w:lang w:bidi="hi-IN"/>
              </w:rPr>
              <w:t>Умерло</w:t>
            </w:r>
          </w:p>
        </w:tc>
        <w:tc>
          <w:tcPr>
            <w:tcW w:w="1442"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523</w:t>
            </w:r>
          </w:p>
        </w:tc>
        <w:tc>
          <w:tcPr>
            <w:tcW w:w="1598"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514</w:t>
            </w:r>
          </w:p>
        </w:tc>
        <w:tc>
          <w:tcPr>
            <w:tcW w:w="1598"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578</w:t>
            </w:r>
          </w:p>
        </w:tc>
        <w:tc>
          <w:tcPr>
            <w:tcW w:w="1598"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544</w:t>
            </w:r>
          </w:p>
        </w:tc>
        <w:tc>
          <w:tcPr>
            <w:tcW w:w="1641" w:type="dxa"/>
            <w:tcBorders>
              <w:top w:val="single" w:sz="4" w:space="0" w:color="000000"/>
              <w:left w:val="single" w:sz="4" w:space="0" w:color="000000"/>
              <w:bottom w:val="single" w:sz="4" w:space="0" w:color="000000"/>
              <w:right w:val="single" w:sz="4" w:space="0" w:color="000000"/>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576</w:t>
            </w:r>
          </w:p>
        </w:tc>
      </w:tr>
      <w:tr w:rsidR="00ED7F17" w:rsidTr="00ED7F17">
        <w:tc>
          <w:tcPr>
            <w:tcW w:w="2002" w:type="dxa"/>
            <w:tcBorders>
              <w:top w:val="single" w:sz="4" w:space="0" w:color="000000"/>
              <w:left w:val="single" w:sz="4" w:space="0" w:color="000000"/>
              <w:bottom w:val="single" w:sz="4" w:space="0" w:color="000000"/>
              <w:right w:val="nil"/>
            </w:tcBorders>
            <w:hideMark/>
          </w:tcPr>
          <w:p w:rsidR="00ED7F17" w:rsidRDefault="00ED7F17">
            <w:pPr>
              <w:widowControl w:val="0"/>
              <w:tabs>
                <w:tab w:val="left" w:pos="1134"/>
              </w:tabs>
              <w:suppressAutoHyphens w:val="0"/>
              <w:jc w:val="both"/>
              <w:rPr>
                <w:rFonts w:ascii="Arial" w:eastAsia="Arial" w:hAnsi="Arial" w:cs="Arial"/>
                <w:sz w:val="22"/>
                <w:szCs w:val="22"/>
              </w:rPr>
            </w:pPr>
            <w:r>
              <w:rPr>
                <w:rFonts w:eastAsia="SimSun"/>
                <w:sz w:val="20"/>
                <w:szCs w:val="20"/>
                <w:lang w:bidi="hi-IN"/>
              </w:rPr>
              <w:t>Летальность</w:t>
            </w:r>
          </w:p>
        </w:tc>
        <w:tc>
          <w:tcPr>
            <w:tcW w:w="1442"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19,7</w:t>
            </w:r>
          </w:p>
        </w:tc>
        <w:tc>
          <w:tcPr>
            <w:tcW w:w="1598"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21,1</w:t>
            </w:r>
          </w:p>
        </w:tc>
        <w:tc>
          <w:tcPr>
            <w:tcW w:w="1598"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25,0</w:t>
            </w:r>
          </w:p>
        </w:tc>
        <w:tc>
          <w:tcPr>
            <w:tcW w:w="1598"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23,5</w:t>
            </w:r>
          </w:p>
        </w:tc>
        <w:tc>
          <w:tcPr>
            <w:tcW w:w="1641" w:type="dxa"/>
            <w:tcBorders>
              <w:top w:val="single" w:sz="4" w:space="0" w:color="000000"/>
              <w:left w:val="single" w:sz="4" w:space="0" w:color="000000"/>
              <w:bottom w:val="single" w:sz="4" w:space="0" w:color="000000"/>
              <w:right w:val="single" w:sz="4" w:space="0" w:color="000000"/>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23,2</w:t>
            </w:r>
          </w:p>
        </w:tc>
      </w:tr>
      <w:tr w:rsidR="00ED7F17" w:rsidTr="00ED7F17">
        <w:tc>
          <w:tcPr>
            <w:tcW w:w="2002" w:type="dxa"/>
            <w:tcBorders>
              <w:top w:val="single" w:sz="4" w:space="0" w:color="000000"/>
              <w:left w:val="single" w:sz="4" w:space="0" w:color="000000"/>
              <w:bottom w:val="single" w:sz="4" w:space="0" w:color="000000"/>
              <w:right w:val="nil"/>
            </w:tcBorders>
            <w:hideMark/>
          </w:tcPr>
          <w:p w:rsidR="00ED7F17" w:rsidRDefault="00ED7F17">
            <w:pPr>
              <w:widowControl w:val="0"/>
              <w:tabs>
                <w:tab w:val="left" w:pos="1134"/>
              </w:tabs>
              <w:suppressAutoHyphens w:val="0"/>
              <w:jc w:val="both"/>
              <w:rPr>
                <w:rFonts w:ascii="Arial" w:eastAsia="Arial" w:hAnsi="Arial" w:cs="Arial"/>
                <w:sz w:val="22"/>
                <w:szCs w:val="22"/>
              </w:rPr>
            </w:pPr>
            <w:r>
              <w:rPr>
                <w:rFonts w:eastAsia="SimSun"/>
                <w:sz w:val="20"/>
                <w:szCs w:val="20"/>
                <w:lang w:bidi="hi-IN"/>
              </w:rPr>
              <w:t>ТЛТ%</w:t>
            </w:r>
          </w:p>
        </w:tc>
        <w:tc>
          <w:tcPr>
            <w:tcW w:w="1442"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3,8</w:t>
            </w:r>
          </w:p>
        </w:tc>
        <w:tc>
          <w:tcPr>
            <w:tcW w:w="1598"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4,5</w:t>
            </w:r>
          </w:p>
        </w:tc>
        <w:tc>
          <w:tcPr>
            <w:tcW w:w="1598"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5,3</w:t>
            </w:r>
          </w:p>
        </w:tc>
        <w:tc>
          <w:tcPr>
            <w:tcW w:w="1598" w:type="dxa"/>
            <w:tcBorders>
              <w:top w:val="single" w:sz="4" w:space="0" w:color="000000"/>
              <w:left w:val="single" w:sz="4" w:space="0" w:color="000000"/>
              <w:bottom w:val="single" w:sz="4" w:space="0" w:color="000000"/>
              <w:right w:val="nil"/>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5,6</w:t>
            </w:r>
          </w:p>
        </w:tc>
        <w:tc>
          <w:tcPr>
            <w:tcW w:w="1641" w:type="dxa"/>
            <w:tcBorders>
              <w:top w:val="single" w:sz="4" w:space="0" w:color="000000"/>
              <w:left w:val="single" w:sz="4" w:space="0" w:color="000000"/>
              <w:bottom w:val="single" w:sz="4" w:space="0" w:color="000000"/>
              <w:right w:val="single" w:sz="4" w:space="0" w:color="000000"/>
            </w:tcBorders>
            <w:vAlign w:val="center"/>
            <w:hideMark/>
          </w:tcPr>
          <w:p w:rsidR="00ED7F17" w:rsidRDefault="00ED7F17">
            <w:pPr>
              <w:widowControl w:val="0"/>
              <w:tabs>
                <w:tab w:val="left" w:pos="1134"/>
              </w:tabs>
              <w:suppressAutoHyphens w:val="0"/>
              <w:jc w:val="center"/>
              <w:rPr>
                <w:rFonts w:ascii="Arial" w:eastAsia="Arial" w:hAnsi="Arial" w:cs="Arial"/>
                <w:sz w:val="22"/>
                <w:szCs w:val="22"/>
              </w:rPr>
            </w:pPr>
            <w:r>
              <w:rPr>
                <w:rFonts w:eastAsia="SimSun"/>
                <w:sz w:val="20"/>
                <w:szCs w:val="20"/>
                <w:lang w:bidi="hi-IN"/>
              </w:rPr>
              <w:t>2</w:t>
            </w:r>
          </w:p>
        </w:tc>
      </w:tr>
    </w:tbl>
    <w:p w:rsidR="00ED7F17" w:rsidRDefault="00ED7F17" w:rsidP="00ED7F17">
      <w:pPr>
        <w:suppressAutoHyphens w:val="0"/>
        <w:ind w:firstLine="709"/>
        <w:jc w:val="both"/>
        <w:rPr>
          <w:rFonts w:eastAsia="Calibri"/>
          <w:color w:val="auto"/>
          <w:lang w:eastAsia="en-US"/>
        </w:rPr>
      </w:pPr>
    </w:p>
    <w:p w:rsidR="00ED7F17" w:rsidRDefault="00ED7F17" w:rsidP="00ED7F17">
      <w:pPr>
        <w:suppressAutoHyphens w:val="0"/>
        <w:ind w:firstLine="709"/>
        <w:jc w:val="both"/>
        <w:rPr>
          <w:rFonts w:ascii="Arial" w:eastAsia="Arial" w:hAnsi="Arial" w:cs="Arial"/>
          <w:sz w:val="22"/>
          <w:szCs w:val="22"/>
        </w:rPr>
      </w:pPr>
      <w:r>
        <w:rPr>
          <w:rFonts w:eastAsia="Calibri"/>
          <w:color w:val="auto"/>
          <w:lang w:eastAsia="en-US"/>
        </w:rPr>
        <w:t xml:space="preserve">Среди всех поступивших в стационар пациентов с ОНМК как и предыдущем году 36% госпитализировано в первые 4,5 часа от начала заболевания (947). Большая доля госпитализированных пациентов с ОНМК в ранние сроки заболевания способствовала снижению летальности этой категории пациентов в стационаре (с 551 до 536 случая). Показатель за 2018 год составил 20,2%, что ниже аналогичного периода предыдущего года (22,5%). </w:t>
      </w:r>
    </w:p>
    <w:p w:rsidR="00ED7F17" w:rsidRDefault="00ED7F17" w:rsidP="00ED7F17">
      <w:pPr>
        <w:ind w:left="720" w:firstLine="360"/>
        <w:jc w:val="center"/>
        <w:rPr>
          <w:rFonts w:eastAsia="Calibri"/>
          <w:b/>
          <w:bCs/>
          <w:color w:val="auto"/>
          <w:lang w:eastAsia="en-US"/>
        </w:rPr>
      </w:pPr>
    </w:p>
    <w:p w:rsidR="00ED7F17" w:rsidRDefault="00ED7F17" w:rsidP="00ED7F17">
      <w:pPr>
        <w:ind w:firstLine="709"/>
        <w:jc w:val="both"/>
        <w:rPr>
          <w:rFonts w:ascii="Arial" w:eastAsia="Arial" w:hAnsi="Arial" w:cs="Arial"/>
          <w:sz w:val="22"/>
          <w:szCs w:val="22"/>
        </w:rPr>
      </w:pPr>
      <w:r>
        <w:rPr>
          <w:b/>
          <w:bCs/>
        </w:rPr>
        <w:t>1.7. Региональные документы, регламентирующие оказание помощи при болезнях системы кровообращения (БСК)</w:t>
      </w:r>
    </w:p>
    <w:p w:rsidR="00ED7F17" w:rsidRDefault="00ED7F17" w:rsidP="00ED7F17">
      <w:pPr>
        <w:ind w:left="720" w:firstLine="360"/>
        <w:jc w:val="center"/>
        <w:rPr>
          <w:b/>
          <w:bCs/>
        </w:rPr>
      </w:pPr>
    </w:p>
    <w:p w:rsidR="00ED7F17" w:rsidRDefault="00ED7F17" w:rsidP="00ED7F17">
      <w:pPr>
        <w:ind w:firstLine="709"/>
        <w:jc w:val="both"/>
        <w:rPr>
          <w:rFonts w:ascii="Arial" w:hAnsi="Arial" w:cs="Arial"/>
          <w:sz w:val="22"/>
          <w:szCs w:val="22"/>
        </w:rPr>
      </w:pPr>
      <w:r>
        <w:rPr>
          <w:rFonts w:eastAsia="Calibri"/>
        </w:rPr>
        <w:t>1. Распоряжение министерства здравоохранения Астраханской области от 28.06.2013 №540р «</w:t>
      </w:r>
      <w:r>
        <w:t>О реализации мероприятий, направленных на совершенствование оказания медицинской помощи больным с сосудистыми заболеваниями на территории Астраханской области»</w:t>
      </w:r>
    </w:p>
    <w:p w:rsidR="00ED7F17" w:rsidRDefault="00ED7F17" w:rsidP="00ED7F17">
      <w:pPr>
        <w:ind w:firstLine="709"/>
        <w:jc w:val="both"/>
      </w:pPr>
      <w:r>
        <w:t>Распоряжение определяет порядок маршрутизации больных с сосудистыми заболеваниями на территории Астраханской области, а также правила оказания медицинской помощи больным с острыми нарушениями мозгового кровообращения и острым коронарным синдром на территории Астраханской области. В данный документ вносились изменения с целью оптимизации маршрутизации и улучшения качества оказания медицинской помощи при ОКС и ОНМК. Так, с 3 апреля 2019 года включены в маршрутизацию больных с сосудистыми заболеваниями кардиологические койки ГБУЗ «Енотаевская районная больница».</w:t>
      </w:r>
    </w:p>
    <w:p w:rsidR="00ED7F17" w:rsidRDefault="00ED7F17" w:rsidP="00ED7F17">
      <w:pPr>
        <w:ind w:firstLine="680"/>
        <w:jc w:val="both"/>
      </w:pPr>
      <w:r>
        <w:rPr>
          <w:rFonts w:eastAsia="Calibri"/>
        </w:rPr>
        <w:t>2. Распоряжение МЗ АО № 1913р от 31.12.2014 «Об оказании плановой медицинской помощи взрослому населению Астраханской области с сердечно-сосудистыми заболеваниями» (в редакции Распоряжения МЗ АО от 26.07.2017 №689р.).</w:t>
      </w:r>
    </w:p>
    <w:p w:rsidR="00ED7F17" w:rsidRDefault="00ED7F17" w:rsidP="00ED7F17">
      <w:pPr>
        <w:ind w:firstLine="680"/>
        <w:jc w:val="both"/>
      </w:pPr>
      <w:r>
        <w:rPr>
          <w:rFonts w:eastAsia="Calibri"/>
        </w:rPr>
        <w:t>Определяет оказание плановой первичной специализированной медико-санитарной и специализированной помощи.</w:t>
      </w:r>
    </w:p>
    <w:p w:rsidR="00ED7F17" w:rsidRDefault="00ED7F17" w:rsidP="00ED7F17">
      <w:pPr>
        <w:ind w:firstLine="680"/>
        <w:jc w:val="both"/>
      </w:pPr>
      <w:r>
        <w:rPr>
          <w:rFonts w:eastAsia="Calibri"/>
        </w:rPr>
        <w:t>3. Распоряжение МЗ АО от 25.03.2016 № 541р «О кураторах медицинских организаций, подведомственных министерству здравоохранения Астраханской области».</w:t>
      </w:r>
    </w:p>
    <w:p w:rsidR="00ED7F17" w:rsidRDefault="00ED7F17" w:rsidP="00ED7F17">
      <w:pPr>
        <w:ind w:firstLine="680"/>
        <w:jc w:val="both"/>
      </w:pPr>
      <w:r>
        <w:rPr>
          <w:rFonts w:eastAsia="Calibri"/>
        </w:rPr>
        <w:t>Организационно-методическое руководство по профилю «кардиология» в соответствии с распоряжением осуществляется специалистами областного кардиологического диспансера, которые осуществляют ежеквартальные выезды в прикрепленные учреждения, по профилю «неврология» - ГБУЗ АО АМОКБ, где работает главный внештатный специалист невролог.</w:t>
      </w:r>
    </w:p>
    <w:p w:rsidR="00ED7F17" w:rsidRDefault="00ED7F17" w:rsidP="00ED7F17">
      <w:pPr>
        <w:ind w:firstLine="680"/>
        <w:jc w:val="both"/>
      </w:pPr>
      <w:r>
        <w:rPr>
          <w:rFonts w:eastAsia="Calibri"/>
        </w:rPr>
        <w:t>Ежегодно министерством здравоохранения Астраханской области разрабатывается и согласовывается с главным внештатным кардиологом и неврологом МЗ РФ «План мероприятий по снижению смертности от ишемической болезни сердца на территории Астраханской области» и «План мероприятий по снижению смертности от цереброваскулярных болезней» с определением целевых показателей, который утверждается Правительством региона. При Правительстве Астраханской области создана и проводит работу межведомственная комиссия по социально-демографическим вопросам. Определено ответственное лицо за координацию мероприятий планов снижения смертности - заместитель председателя Правительства Астраханской области по социальной политике - министр социального развития и труда Астраханской области.</w:t>
      </w:r>
    </w:p>
    <w:p w:rsidR="00ED7F17" w:rsidRDefault="00ED7F17" w:rsidP="00ED7F17">
      <w:pPr>
        <w:ind w:firstLine="680"/>
        <w:jc w:val="both"/>
      </w:pPr>
      <w:r>
        <w:rPr>
          <w:rFonts w:eastAsia="Calibri"/>
        </w:rPr>
        <w:t>4. Распоряжение министерства здравоохранения Астраханской области от 30.05.2014 №829р «О реализации порядков оказания медицинской помощи взрослому населению Астраханской области».</w:t>
      </w:r>
    </w:p>
    <w:p w:rsidR="00ED7F17" w:rsidRDefault="00ED7F17" w:rsidP="00ED7F17">
      <w:pPr>
        <w:ind w:firstLine="680"/>
        <w:jc w:val="both"/>
      </w:pPr>
      <w:r>
        <w:rPr>
          <w:rFonts w:eastAsia="Calibri"/>
        </w:rPr>
        <w:t>Распоряжение утверждает схемы маршрутизации при оказании медицинской помощи взрослому населению на территории Астраханской области по профилям «кардиология» и «неврология» с учетом 3-х уровневой системой оказания медицинской помощи.</w:t>
      </w:r>
    </w:p>
    <w:p w:rsidR="00ED7F17" w:rsidRDefault="00ED7F17" w:rsidP="00ED7F17">
      <w:pPr>
        <w:ind w:firstLine="680"/>
        <w:jc w:val="both"/>
      </w:pPr>
      <w:r>
        <w:rPr>
          <w:rFonts w:eastAsia="Calibri"/>
        </w:rPr>
        <w:t xml:space="preserve">5. Распоряжение министерства здравоохранения Астраханской области от 16.05.2019 №508р «О совершенствовании организации оказания медицинской помощи взрослому населению Астраханской области с легочной артериальной гипертензией» - регламентирует работу соответствующего кабинета на базе ГБУЗ АО «ОКД» (). </w:t>
      </w:r>
    </w:p>
    <w:p w:rsidR="00ED7F17" w:rsidRDefault="00ED7F17" w:rsidP="00ED7F17">
      <w:pPr>
        <w:ind w:firstLine="680"/>
        <w:jc w:val="both"/>
      </w:pPr>
      <w:r>
        <w:rPr>
          <w:rFonts w:eastAsia="Calibri"/>
        </w:rPr>
        <w:t xml:space="preserve">6. Распоряжение министерства здравоохранения Астраханской области от 29.03.2019 №308р «О совершенствовании организации оказания кардиологической помощи взрослому населению Астраханской области)» регламентирует работу кабинета для пациентов с хронической сердечной недостаточности </w:t>
      </w:r>
      <w:r>
        <w:rPr>
          <w:rFonts w:eastAsia="Calibri"/>
          <w:lang w:val="en-US"/>
        </w:rPr>
        <w:t>III</w:t>
      </w:r>
      <w:r>
        <w:rPr>
          <w:rFonts w:eastAsia="Calibri"/>
        </w:rPr>
        <w:t>-</w:t>
      </w:r>
      <w:r>
        <w:rPr>
          <w:rFonts w:eastAsia="Calibri"/>
          <w:lang w:val="en-US"/>
        </w:rPr>
        <w:t>IV</w:t>
      </w:r>
      <w:r>
        <w:rPr>
          <w:rFonts w:eastAsia="Calibri"/>
        </w:rPr>
        <w:t xml:space="preserve"> функциональных классов, а также пациентов с фракцией выброса левого желудочка менее 40% с 01.04.2019 на базе ГБУЗ АО «ОКД».</w:t>
      </w:r>
    </w:p>
    <w:p w:rsidR="00ED7F17" w:rsidRPr="00ED7F17" w:rsidRDefault="00ED7F17" w:rsidP="00ED7F17">
      <w:pPr>
        <w:pStyle w:val="16"/>
        <w:spacing w:before="0" w:after="0"/>
        <w:contextualSpacing/>
        <w:jc w:val="both"/>
        <w:rPr>
          <w:rFonts w:eastAsia="Calibri"/>
        </w:rPr>
      </w:pPr>
    </w:p>
    <w:p w:rsidR="00ED7F17" w:rsidRDefault="00ED7F17" w:rsidP="00ED7F17">
      <w:pPr>
        <w:ind w:firstLine="709"/>
        <w:jc w:val="both"/>
        <w:rPr>
          <w:rFonts w:eastAsia="Arial"/>
        </w:rPr>
      </w:pPr>
      <w:r>
        <w:rPr>
          <w:b/>
        </w:rPr>
        <w:t>1.8. Показатели деятельности, связанной с оказанием медицинской помощи больным с сердечно-сосудистыми заболеваниями в Астраханской области (профилактика, раннее выявление, диагностика, лечение и реабилитация больных с сердечно-сосудистыми заболеваниями)</w:t>
      </w:r>
    </w:p>
    <w:p w:rsidR="00ED7F17" w:rsidRDefault="00ED7F17" w:rsidP="00ED7F17">
      <w:pPr>
        <w:ind w:firstLine="709"/>
        <w:jc w:val="both"/>
        <w:rPr>
          <w:b/>
        </w:rPr>
      </w:pPr>
    </w:p>
    <w:p w:rsidR="00ED7F17" w:rsidRDefault="00ED7F17" w:rsidP="00ED7F17">
      <w:pPr>
        <w:ind w:firstLine="709"/>
        <w:jc w:val="both"/>
        <w:rPr>
          <w:rFonts w:ascii="Arial" w:eastAsia="Arial" w:hAnsi="Arial" w:cs="Arial"/>
          <w:sz w:val="22"/>
          <w:szCs w:val="22"/>
        </w:rPr>
      </w:pPr>
      <w:r>
        <w:t>Наиболее частой причиной смерти населения Астраханской области являются БСК, доля которых в структуре общей смертности составляет 49%. В структуре данной нозологической группы ведущей причиной смерти населения в Астраханской области является хроническая ишемическая болезнь сердца, смертность от которой в 2018 году выросла на 32,6% (с 1087 до 1440 чел. или с 106,7 до 141,5 на 100 тыс. населения).</w:t>
      </w:r>
    </w:p>
    <w:p w:rsidR="00ED7F17" w:rsidRDefault="00ED7F17" w:rsidP="00ED7F17">
      <w:pPr>
        <w:ind w:firstLine="709"/>
        <w:jc w:val="both"/>
      </w:pPr>
      <w:r>
        <w:rPr>
          <w:rFonts w:eastAsia="Calibri"/>
        </w:rPr>
        <w:t>При анализе реализации мероприятий по снижению смертности от ИБС по итогам 2018 года следует отметить, что в целом по региону отмечается как положительная динамика некоторых основных показателей деятельности, так и наметившиеся отрицательные тенденции. К положительным тенденциям следует отнести снижение уровня показателя смертности от инфаркта миокарда в 2018 году на 14,3% в сравнении с прошлым годом (с 53,1 до 45,5 на 100 тыс. населения). Также снизилась доля умерших в трудоспособном возрасте от инфаркта миокарда на 3,7%, от ИБС - 1,8%. Как положительную тенденцию следует отметить сокращение доли лиц, умерших от инфаркта миокарда вне стационара с 38,4% до 27,2% (РФ – 37%).</w:t>
      </w:r>
      <w:r>
        <w:rPr>
          <w:rFonts w:eastAsia="Calibri"/>
          <w:color w:val="C00000"/>
        </w:rPr>
        <w:t xml:space="preserve"> </w:t>
      </w:r>
      <w:r>
        <w:rPr>
          <w:rFonts w:eastAsia="Calibri"/>
        </w:rPr>
        <w:t>Показатель смертности от БСК (565,3) ниже на 1,4% значения по РФ (573,6) и на 6% - по ЮФО (601,2).</w:t>
      </w:r>
    </w:p>
    <w:p w:rsidR="00ED7F17" w:rsidRDefault="00ED7F17" w:rsidP="00ED7F17">
      <w:pPr>
        <w:ind w:firstLine="709"/>
        <w:jc w:val="both"/>
      </w:pPr>
      <w:r>
        <w:rPr>
          <w:rFonts w:eastAsia="Calibri"/>
        </w:rPr>
        <w:t xml:space="preserve">В отчетном периоде несколько улучшилась ситуация по своевременному обращению пациентов за медицинской помощью. Так, на 2,1% возросла доля пациентов с ОКС с подъемом сегмента </w:t>
      </w:r>
      <w:r>
        <w:rPr>
          <w:rFonts w:eastAsia="Calibri"/>
          <w:lang w:val="en-US"/>
        </w:rPr>
        <w:t>ST</w:t>
      </w:r>
      <w:r>
        <w:rPr>
          <w:rFonts w:eastAsia="Calibri"/>
        </w:rPr>
        <w:t>, госпитализированных в стационар в сроки менее 2 часов, и на 8,5% - в сроки менее 12 часов от начала заболевания.</w:t>
      </w:r>
      <w:r>
        <w:rPr>
          <w:rFonts w:eastAsia="Calibri"/>
          <w:iCs/>
          <w:color w:val="C00000"/>
        </w:rPr>
        <w:t xml:space="preserve"> </w:t>
      </w:r>
      <w:r>
        <w:rPr>
          <w:rFonts w:eastAsia="Calibri"/>
          <w:iCs/>
        </w:rPr>
        <w:t xml:space="preserve">Доля профильной госпитализации пациентов с ОКС стабильно высокая – 94,2%. </w:t>
      </w:r>
      <w:r>
        <w:rPr>
          <w:rFonts w:eastAsia="Calibri"/>
        </w:rPr>
        <w:t xml:space="preserve">В регионе наблюдается положительная динамика проведения реперфузионной терапии у </w:t>
      </w:r>
      <w:r>
        <w:rPr>
          <w:rFonts w:eastAsia="Calibri"/>
          <w:iCs/>
        </w:rPr>
        <w:t>пациентов с ОКС с подъемом сегмента ST</w:t>
      </w:r>
      <w:r>
        <w:rPr>
          <w:rFonts w:eastAsia="Calibri"/>
        </w:rPr>
        <w:t xml:space="preserve"> –</w:t>
      </w:r>
      <w:r>
        <w:rPr>
          <w:rFonts w:eastAsia="Calibri"/>
          <w:iCs/>
        </w:rPr>
        <w:t xml:space="preserve"> с 78,7% до 80,3%, при этом доля первичного</w:t>
      </w:r>
      <w:r>
        <w:rPr>
          <w:rFonts w:eastAsia="Calibri"/>
        </w:rPr>
        <w:t xml:space="preserve"> ЧКВ возросла с 48,1% до 58,9%, а процент проведения тромболитической терапии сократился с 30,6% до 21,4 %, что соответствует клиническим рекомендациям по ведению данной категории пациентов. На 7,7% увеличилась доля </w:t>
      </w:r>
      <w:r>
        <w:rPr>
          <w:rFonts w:eastAsia="Calibri"/>
          <w:iCs/>
        </w:rPr>
        <w:t>пациентов с ОКС с подъемом сегмента ST</w:t>
      </w:r>
      <w:r>
        <w:rPr>
          <w:rFonts w:eastAsia="Calibri"/>
        </w:rPr>
        <w:t xml:space="preserve">, подвергшихся ЧКВ в течение 90 – 120 мин. от первичного медицинского контакта. </w:t>
      </w:r>
      <w:r>
        <w:rPr>
          <w:rFonts w:eastAsia="Calibri"/>
          <w:iCs/>
        </w:rPr>
        <w:t xml:space="preserve">Медицинский персонал станций скорой медицинской помощи обучен методике проведения догоспитального тромболизиса. Его доля </w:t>
      </w:r>
      <w:r>
        <w:rPr>
          <w:rFonts w:eastAsia="Calibri"/>
        </w:rPr>
        <w:t>сохраняется стабильно высокой – 59,6% (±9,1%).</w:t>
      </w:r>
    </w:p>
    <w:p w:rsidR="00ED7F17" w:rsidRDefault="00ED7F17" w:rsidP="00ED7F17">
      <w:pPr>
        <w:ind w:firstLine="709"/>
        <w:jc w:val="both"/>
      </w:pPr>
      <w:r>
        <w:rPr>
          <w:rFonts w:eastAsia="Calibri"/>
        </w:rPr>
        <w:t>На 37,9% увеличилось число лиц с ХСН, в лечении которых использовались электорфизиологические и хирургические методы лечения.</w:t>
      </w:r>
    </w:p>
    <w:p w:rsidR="00ED7F17" w:rsidRDefault="00ED7F17" w:rsidP="00ED7F17">
      <w:pPr>
        <w:ind w:firstLine="709"/>
        <w:jc w:val="both"/>
      </w:pPr>
      <w:r>
        <w:rPr>
          <w:rFonts w:eastAsia="Calibri"/>
        </w:rPr>
        <w:t>Госпитальная летальность от инфаркта миокарда в РСЦ в 2018 году на 0,4% ниже аналогичного показателя прошлого года.</w:t>
      </w:r>
    </w:p>
    <w:p w:rsidR="00ED7F17" w:rsidRDefault="00ED7F17" w:rsidP="00ED7F17">
      <w:pPr>
        <w:ind w:firstLine="709"/>
        <w:jc w:val="both"/>
      </w:pPr>
      <w:r>
        <w:rPr>
          <w:rFonts w:eastAsia="Calibri"/>
        </w:rPr>
        <w:t xml:space="preserve">Сохраняется на стабильно высоком уровне доля больных, состоящих на диспансерном учете со стабильной ИБС – 91,4%, и перенесших ОКС - 90,2%. </w:t>
      </w:r>
    </w:p>
    <w:p w:rsidR="00ED7F17" w:rsidRDefault="00ED7F17" w:rsidP="00ED7F17">
      <w:pPr>
        <w:ind w:firstLine="709"/>
        <w:jc w:val="both"/>
      </w:pPr>
      <w:r>
        <w:t>Увеличилась доля больных артериальной гипертонией, достигших целевого уровня АД ≤ 140/90 мм рт ст., с 64% до 67% и процент состоящих на диспансерном учете пациентов с артериальной гипертонией – с 88,8% до 93,2%.</w:t>
      </w:r>
    </w:p>
    <w:p w:rsidR="00ED7F17" w:rsidRDefault="00ED7F17" w:rsidP="00ED7F17">
      <w:pPr>
        <w:ind w:firstLine="709"/>
        <w:jc w:val="both"/>
      </w:pPr>
      <w:r>
        <w:rPr>
          <w:rFonts w:eastAsia="Calibri"/>
        </w:rPr>
        <w:t>На 6,3% возросла доля проводимых патологоанатомических (судебно-медицинских) вскрытий среди больных, умерших от ИБС (77,9%) и на 0,1% - от ИМ (97,6%).</w:t>
      </w:r>
    </w:p>
    <w:p w:rsidR="00ED7F17" w:rsidRDefault="00ED7F17" w:rsidP="00ED7F17">
      <w:pPr>
        <w:ind w:firstLine="708"/>
        <w:jc w:val="both"/>
      </w:pPr>
      <w:r>
        <w:rPr>
          <w:rFonts w:eastAsia="Calibri"/>
          <w:iCs/>
        </w:rPr>
        <w:t xml:space="preserve">К негативным тенденциям следует отнести рост </w:t>
      </w:r>
      <w:r>
        <w:rPr>
          <w:bCs/>
        </w:rPr>
        <w:t>показателя смертности от болезней системы кровообращения на 3,6% и</w:t>
      </w:r>
      <w:r>
        <w:rPr>
          <w:rFonts w:eastAsia="Calibri"/>
        </w:rPr>
        <w:t xml:space="preserve"> на</w:t>
      </w:r>
      <w:r>
        <w:rPr>
          <w:rFonts w:eastAsia="Calibri"/>
          <w:color w:val="C00000"/>
        </w:rPr>
        <w:t xml:space="preserve"> </w:t>
      </w:r>
      <w:r>
        <w:rPr>
          <w:rFonts w:eastAsia="Calibri"/>
        </w:rPr>
        <w:t>5,7% от ишемической болезни сердца за счет хронических форм у лиц старше трудоспособного возраста</w:t>
      </w:r>
      <w:r>
        <w:rPr>
          <w:bCs/>
        </w:rPr>
        <w:t>, что, в основном, связано с изменением подхода к кодированию основной причины смерти (доля посмертного диагноза «Старость» снизилась с 10,1% до 4,5%)</w:t>
      </w:r>
      <w:r>
        <w:rPr>
          <w:rFonts w:eastAsia="Calibri"/>
        </w:rPr>
        <w:t>.</w:t>
      </w:r>
    </w:p>
    <w:p w:rsidR="00ED7F17" w:rsidRDefault="00ED7F17" w:rsidP="00ED7F17">
      <w:pPr>
        <w:ind w:firstLine="708"/>
        <w:jc w:val="both"/>
      </w:pPr>
      <w:r>
        <w:t xml:space="preserve">При анализе показателей смертности от сердечно-сосудистой патологии по медицинским организациям области следует отметить, что самый низкий показатель смертности от БСК зарегистрирован по Енотаевскому, Володарскому районам, ЗАТО «Знаменск» и в  ГП №2. Высокие показатели смертности от БСК по сравнению с показателем по АО, отмечаются в ГП№1, ГП №5, ГП№8, ГП №10, в Ахтубинском, Лиманском и Камызякском районах. В ГП№5, №8, Харабалинском, Ахтубинском и Лиманском районах зарегистрированы самые высокие показатели смертности от инфаркта миокарда. Обращают на себя внимание очень высокие показатели смертности от ИБС в ГП№1, №5, №8, №10, а также в ЗАТО «Знаменск» и Камызякском районе. </w:t>
      </w:r>
    </w:p>
    <w:p w:rsidR="00ED7F17" w:rsidRDefault="00ED7F17" w:rsidP="00ED7F17">
      <w:pPr>
        <w:ind w:firstLine="708"/>
        <w:jc w:val="both"/>
      </w:pPr>
      <w:r>
        <w:rPr>
          <w:rFonts w:eastAsia="Calibri"/>
        </w:rPr>
        <w:t>В 2018 году сохранился высокий уровень госпитальной летальности от инфаркта миокарда за счет повышения его в ПСО, не оснащенного ангиографической установкой (ГБУЗ АО «Ахтубинская РБ») и высокой летальности в непрофильных стационарах, прежде всего, хирургического профиля.</w:t>
      </w:r>
      <w:r>
        <w:rPr>
          <w:rFonts w:eastAsia="Calibri"/>
          <w:color w:val="FF0000"/>
        </w:rPr>
        <w:t xml:space="preserve"> </w:t>
      </w:r>
    </w:p>
    <w:p w:rsidR="00ED7F17" w:rsidRDefault="00ED7F17" w:rsidP="00ED7F17">
      <w:pPr>
        <w:pStyle w:val="1f"/>
        <w:ind w:firstLine="708"/>
        <w:jc w:val="both"/>
      </w:pPr>
      <w:r>
        <w:rPr>
          <w:rFonts w:ascii="Times New Roman" w:eastAsia="Calibri" w:hAnsi="Times New Roman" w:cs="Times New Roman"/>
        </w:rPr>
        <w:t xml:space="preserve">На 2,1% снизилась доля пациентов с ОКС без подъема сегмента </w:t>
      </w:r>
      <w:r>
        <w:rPr>
          <w:rFonts w:ascii="Times New Roman" w:eastAsia="Calibri" w:hAnsi="Times New Roman" w:cs="Times New Roman"/>
          <w:lang w:val="en-US"/>
        </w:rPr>
        <w:t>ST</w:t>
      </w:r>
      <w:r>
        <w:rPr>
          <w:rFonts w:ascii="Times New Roman" w:eastAsia="Calibri" w:hAnsi="Times New Roman" w:cs="Times New Roman"/>
        </w:rPr>
        <w:t>, подвергшихся ЧКВ.</w:t>
      </w:r>
      <w:r>
        <w:rPr>
          <w:rFonts w:ascii="Times New Roman" w:eastAsia="Calibri" w:hAnsi="Times New Roman" w:cs="Times New Roman"/>
          <w:iCs/>
          <w:color w:val="C00000"/>
        </w:rPr>
        <w:t xml:space="preserve"> </w:t>
      </w:r>
      <w:r>
        <w:rPr>
          <w:rFonts w:ascii="Times New Roman" w:eastAsia="Calibri" w:hAnsi="Times New Roman" w:cs="Times New Roman"/>
          <w:iCs/>
        </w:rPr>
        <w:t>Это связано, прежде всего, с гипердиагностикой нестабильной стенокардии в ПСО у пациентов с многососудистым атеросклеротическим поражением коронарного русла, длительно ожидающих полостных операций.</w:t>
      </w:r>
    </w:p>
    <w:p w:rsidR="00ED7F17" w:rsidRDefault="00ED7F17" w:rsidP="00ED7F17">
      <w:pPr>
        <w:ind w:firstLine="708"/>
        <w:jc w:val="both"/>
      </w:pPr>
      <w:r>
        <w:t>При анализе качества диспансерного наблюдения выявлен ряд недостатков, в том числе связанных со своевременностью динамического инструментального обследования и адекватностью проводимой лекарственной терапии. Существенно страдает качество диспансерного наблюдения больных артериальной гипертонией, что влияет на сохраняющийся стабильно высоким показатель смертности от ОНМК: отсутствие или несвоевременное диагностическое обследование и мониторинг гемодинамики, низкодозовая терапия антигипертензивными средствами и статинами, низкая приверженность к терапии у пациентов.</w:t>
      </w:r>
    </w:p>
    <w:p w:rsidR="00ED7F17" w:rsidRDefault="00ED7F17" w:rsidP="00ED7F17">
      <w:pPr>
        <w:ind w:firstLine="708"/>
        <w:jc w:val="both"/>
      </w:pPr>
      <w:r>
        <w:rPr>
          <w:rFonts w:eastAsia="Calibri"/>
          <w:bCs/>
        </w:rPr>
        <w:t>Сохраняющиеся проблемы</w:t>
      </w:r>
      <w:r>
        <w:rPr>
          <w:rFonts w:eastAsia="Calibri"/>
        </w:rPr>
        <w:t xml:space="preserve">, затрудняющие достижение целевых показателей: дефицит  врачей-кардиологов (особенно в амбулаторном звене) и врачей рентгенэндоваскулярных хирургов, проблемы оснащения диагностическим оборудованием амбулаторно-поликлинических  учреждений  областного центра и районных больниц, недостаточно эффективная работа  первичного звена здравоохранения по вторичной профилактике у пациентов с ишемической болезнью сердца и перенесших острый коронарный синдром для предупреждения инфаркта миокарда, включая  повторный,  необходимо усилить качество и эффективность диспансерного наблюдения пациентов, в том числе, соблюдение утвержденных стандартов и клинических рекомендаций у пациентов с БСК; решить вопрос с обеспечением льготным лекарственным обеспечением больных, перенесших инфаркт миокарда, нестабильную стенокардию, кардиохирургические и интервенционные  вмешательства в течение двенадцати месяцев после события, </w:t>
      </w:r>
      <w:r>
        <w:t>поздняя обращаемость населения за медицинской помощью, низкая приверженность к лечению у пациентов, страдающих  ХИБС и АГ, в том числе из-за финансовой несостоятельности;</w:t>
      </w:r>
      <w:r>
        <w:rPr>
          <w:rFonts w:eastAsia="Calibri"/>
        </w:rPr>
        <w:t xml:space="preserve"> </w:t>
      </w:r>
      <w:r>
        <w:t>увеличение времени ожидания при оказании ВМП за счет средств федерального бюджета по сравнению с предыдущими годами.</w:t>
      </w:r>
    </w:p>
    <w:p w:rsidR="00ED7F17" w:rsidRDefault="00ED7F17" w:rsidP="00ED7F17">
      <w:pPr>
        <w:ind w:firstLine="709"/>
        <w:jc w:val="both"/>
      </w:pPr>
      <w:r>
        <w:t>В регионе ведется внедрение Регистра для пациентов с сердечно-сосудистой патологией после высокотехнологичных вмешательств. Также в Астраханской области ведется активная работа в действующих Регистрах острого коронарного синдрома, легочной гипертензии и хронической сердечной недостаточности.</w:t>
      </w:r>
      <w:r>
        <w:rPr>
          <w:color w:val="000000"/>
        </w:rPr>
        <w:t xml:space="preserve"> С регистром ведут работу медицинские организации, в которых размещаются первичные сосудистые отделения (ГБУЗ АО «Ахтубинская РБ» и ГБУЗ АО «ГКБ №3») и региональный сосудистый центр (ГБУЗ АО «АМОКБ»), а также ГБУЗ АО «Областной кардиологический диспансер» (далее ГБУЗ АО «ОКД»). Информация в регистр вносится стационарными медицинскими организациями при поступлении в стационар пациентов с соответствующей патологией, далее (после выписки) специалисты ГБУЗ АО «ОКД» наблюдают за пациентами с целью проведения реабилитационных мероприятий и диспансерного наблюдения. В соответствии с распоряжением Министерства здравоохранения Астраханской области от 10.06.2015 №941р «Об организации мониторинга реализации мероприятий по снижению смертности от основных причин на территории Астраханской области ежемесячно ведется мониторинг.</w:t>
      </w:r>
    </w:p>
    <w:p w:rsidR="00ED7F17" w:rsidRDefault="00ED7F17" w:rsidP="00ED7F17">
      <w:pPr>
        <w:ind w:firstLine="708"/>
        <w:jc w:val="both"/>
      </w:pPr>
      <w:r>
        <w:t xml:space="preserve">Следует отметить, что в 2018 году у 65% из всех умерших от БСК смерть наступила вне стационара. Это говорит, как о позднем обращении за медицинской помощью, так и о недостатках диспансерного наблюдения за данной категорией граждан, учитывая, что 87,8% из них приходится на лиц старше трудоспособного возраста </w:t>
      </w:r>
      <w:r>
        <w:rPr>
          <w:b/>
        </w:rPr>
        <w:t>(</w:t>
      </w:r>
      <w:r>
        <w:rPr>
          <w:color w:val="000000"/>
          <w:highlight w:val="white"/>
        </w:rPr>
        <w:t>популяция с максимальным риском развития сердечно-сосудистых осложнений</w:t>
      </w:r>
      <w:r>
        <w:t>), а также о недостаточной информированности граждан в области профилактики сердечно-сосудистых заболеваний и неэффективности реализации популяционной стратегии, первичной и вторичной профилактики сердечно-сосудистых заболеваний.</w:t>
      </w:r>
    </w:p>
    <w:p w:rsidR="00ED7F17" w:rsidRDefault="00ED7F17" w:rsidP="00ED7F17">
      <w:pPr>
        <w:ind w:firstLine="708"/>
        <w:jc w:val="both"/>
      </w:pPr>
      <w:r>
        <w:t>Необходимо обратить внимание на своевременность выявления данных заболеваний, в том числе при диспансеризации взрослого населения.</w:t>
      </w:r>
    </w:p>
    <w:p w:rsidR="00ED7F17" w:rsidRDefault="00ED7F17" w:rsidP="00ED7F17">
      <w:pPr>
        <w:ind w:firstLine="708"/>
        <w:jc w:val="both"/>
      </w:pPr>
      <w:r>
        <w:t>Центральным элементом в профилактике сердечно-сосудистых заболеваний и снижении смертности является диспансеризация и диспансерное наблюдение больных ССЗ и пациентов, имеющих высокий риск их развития.</w:t>
      </w:r>
    </w:p>
    <w:p w:rsidR="00ED7F17" w:rsidRDefault="00ED7F17" w:rsidP="00ED7F17">
      <w:pPr>
        <w:ind w:firstLine="708"/>
        <w:jc w:val="both"/>
      </w:pPr>
      <w:r>
        <w:t>Сердечно-сосудистые заболевания занимают первое место по частоте выявления во время диспансерных осмотров, их доля в 2018 году составила 30% среди всех выявленных заболеваний. Однако обращает на себя внимание, что в 2018 году этих болезней было выявлено на 17% меньше, чем в 2017 году.</w:t>
      </w:r>
    </w:p>
    <w:p w:rsidR="00ED7F17" w:rsidRDefault="00ED7F17" w:rsidP="00ED7F17">
      <w:pPr>
        <w:ind w:firstLine="708"/>
        <w:jc w:val="both"/>
      </w:pPr>
      <w:r>
        <w:t>Частота выявления данной патологии в Астраханской области в сравнении с ЮФО ниже на 13%. Среди медицинских организаций самый низкий уровень выявления БСК отмечается в Городской поликлинике № 10 (72,3 случая на 100 тыс. обследованных при среднеобластном показателе – 3677,8), также низкие показатели имеют Городская поликлиника № 5, ФГБУЗ ЮОМЦ ФМБА России «Астраханская клиническая больница», Городская поликлиника № 1, ЧУЗ «Отделенческая больница на ст. Астрахань - 1 ОАО РЖД», ЧУЗ «Медико-санитарная часть», Красноярская РБ, Ахтубинская РБ, Городская поликлиника № 8, Лиманская РБ.</w:t>
      </w:r>
    </w:p>
    <w:p w:rsidR="00ED7F17" w:rsidRDefault="00ED7F17" w:rsidP="00ED7F17">
      <w:pPr>
        <w:ind w:firstLine="709"/>
        <w:jc w:val="both"/>
      </w:pPr>
      <w:r>
        <w:rPr>
          <w:color w:val="000000"/>
          <w:highlight w:val="white"/>
        </w:rPr>
        <w:t xml:space="preserve">Охват граждан диспансерным наблюдением с впервые выявленными болезнями системы кровообращения, высоким и очень высоким абсолютным сердечно-сосудистым риском составляет 72,5%, при целевом не менее 80% от общего числа. </w:t>
      </w:r>
    </w:p>
    <w:p w:rsidR="00ED7F17" w:rsidRDefault="00ED7F17" w:rsidP="00ED7F17">
      <w:pPr>
        <w:ind w:firstLine="709"/>
        <w:jc w:val="both"/>
      </w:pPr>
      <w:r>
        <w:rPr>
          <w:color w:val="000000"/>
          <w:highlight w:val="white"/>
        </w:rPr>
        <w:t xml:space="preserve">По данным диспансеризации взрослого населения динамика показателей высокого или очень высокого сердечно-сосудистого риска, определяемого по системе </w:t>
      </w:r>
      <w:r>
        <w:rPr>
          <w:color w:val="000000"/>
          <w:highlight w:val="white"/>
          <w:lang w:val="en-US"/>
        </w:rPr>
        <w:t>SCORE</w:t>
      </w:r>
      <w:r>
        <w:rPr>
          <w:color w:val="000000"/>
          <w:highlight w:val="white"/>
        </w:rPr>
        <w:t xml:space="preserve">, находится в диапазоне от 8,7% в 2014 году до 14,0% в 2018 году. Однако анализ показывает, что выявляемость сердечно-сосудистого риска низкая и находится ниже среднероссийского показателя (23,7%). </w:t>
      </w:r>
    </w:p>
    <w:p w:rsidR="00ED7F17" w:rsidRDefault="00ED7F17" w:rsidP="00ED7F17">
      <w:pPr>
        <w:ind w:firstLine="709"/>
        <w:jc w:val="both"/>
      </w:pPr>
      <w:r>
        <w:rPr>
          <w:color w:val="000000"/>
          <w:highlight w:val="white"/>
        </w:rPr>
        <w:t>Показатель, отражающий направление граждан на 2-й этап, не достиг целевого показателя (не ниже 30,0%) и составил в 2014 году – 16,7%, в 2018 году – 27,0%.</w:t>
      </w:r>
    </w:p>
    <w:p w:rsidR="00ED7F17" w:rsidRDefault="00ED7F17" w:rsidP="00ED7F17">
      <w:pPr>
        <w:ind w:firstLine="709"/>
        <w:jc w:val="both"/>
      </w:pPr>
      <w:r>
        <w:rPr>
          <w:color w:val="000000"/>
          <w:highlight w:val="white"/>
        </w:rPr>
        <w:t xml:space="preserve">Немаловажно, чтобы сохранялась в целом </w:t>
      </w:r>
      <w:r>
        <w:t>преемственность профилактических мероприятий на различных этапах оказания медицинской помощи пациентам, включая диспансеризацию и диспансерное наблюдение.</w:t>
      </w:r>
    </w:p>
    <w:p w:rsidR="00ED7F17" w:rsidRDefault="00ED7F17" w:rsidP="00ED7F17">
      <w:pPr>
        <w:ind w:firstLine="709"/>
        <w:jc w:val="both"/>
      </w:pPr>
      <w:r>
        <w:rPr>
          <w:color w:val="000000"/>
          <w:highlight w:val="white"/>
        </w:rPr>
        <w:t>В связи с изложенным, необходимо активизировать в рамках диспансеризации комплекс мер, направленных на профилактику и раннею диагностику сердечно-сосудистых заболеваний, а также раннее выявление с целью</w:t>
      </w:r>
      <w:r>
        <w:rPr>
          <w:color w:val="000000"/>
        </w:rPr>
        <w:t xml:space="preserve"> предупреждения преждевременного старения населения, пациентов с факторами риска развития СА или ее манифестными признаками.</w:t>
      </w:r>
      <w:r>
        <w:rPr>
          <w:b/>
        </w:rPr>
        <w:t xml:space="preserve"> </w:t>
      </w:r>
    </w:p>
    <w:p w:rsidR="00ED7F17" w:rsidRDefault="00ED7F17" w:rsidP="00ED7F17">
      <w:pPr>
        <w:ind w:firstLine="709"/>
        <w:jc w:val="both"/>
      </w:pPr>
      <w:r>
        <w:t xml:space="preserve">Вместе с этим, </w:t>
      </w:r>
      <w:r>
        <w:rPr>
          <w:color w:val="000000"/>
          <w:highlight w:val="white"/>
        </w:rPr>
        <w:t xml:space="preserve">основа профилактики сердечно-сосудистых событий – это управление факторами риска: отказ от курения, лечение артериальной гипертонии (АГ), дислипидемии и сахарного диабета 2-го типа на основании клинических рекомендаций, разработанных на основе большого количества рандомизированных клинических исследований (РКИ). </w:t>
      </w:r>
      <w:r>
        <w:t>Приверженность лечению является отдельным независимым аспектом эффективности мероприятий вторичной профилактики ишемической болезни сердца.</w:t>
      </w:r>
    </w:p>
    <w:p w:rsidR="00ED7F17" w:rsidRDefault="00ED7F17" w:rsidP="00ED7F17">
      <w:pPr>
        <w:ind w:firstLine="709"/>
        <w:jc w:val="both"/>
      </w:pPr>
      <w:r>
        <w:t>Основная работа в регионе по формированию здорового образа жизни населения и профилактике сердечно-сосудистых заболеваний в рамках приоритетного национального проекта «Здоровье», Программы «Развитие здравоохранения» (подпрограмма «Профилактика неинфекционных заболеваний и формирование здорового образа жизни»), Года борьбы с сердечно-сосудистыми заболеваниями («Программа мероприятий по профилактике сердечно-сосудистых заболеваний и ИБС») в течение последних лет осуществлялась посредством реализации комплекса мероприятий, включающих популяционную профилактику по информированию населения об основных факторах риска развития хронических неинфекционных заболеваний, воспитанию приверженности к здоровому образу жизни и лечению, обеспечению медицинской помощи по диагностике и коррекции факторов риска, разработки и внедрения новых специальных технологий мотивации населения к ведению здорового образа жизни, в том числе направленных на отдельные половозрастные и социальные группы населения.</w:t>
      </w:r>
    </w:p>
    <w:p w:rsidR="00ED7F17" w:rsidRDefault="00ED7F17" w:rsidP="00ED7F17">
      <w:pPr>
        <w:ind w:firstLine="709"/>
        <w:jc w:val="both"/>
      </w:pPr>
      <w:r>
        <w:t>Среди дифференцированных групп населения проводятся активные профилактические мероприятия по профилактике сердечно-сосудистых заболеваний, основной задачей которых является выявление факторов риска и заболеваний, оценка степени суммарного кардиоваскулярного риска и его снижение у лиц с повышенным риском и пациентов с БСК (за счет модификации всех имеющихся факторов риска), а также оздоровление образа жизни с целью сохранения низкого риска у лиц с низкой вероятностью развития заболевания</w:t>
      </w:r>
      <w:r>
        <w:rPr>
          <w:i/>
        </w:rPr>
        <w:t xml:space="preserve">, </w:t>
      </w:r>
      <w:r>
        <w:rPr>
          <w:bCs/>
          <w:iCs/>
        </w:rPr>
        <w:t>оказание помощи лицам с низким риском БСК по продлению этого состояния на долгие годы и помощь лицам с высоким суммарным риском БСК уменьшить его.</w:t>
      </w:r>
    </w:p>
    <w:p w:rsidR="00ED7F17" w:rsidRDefault="00ED7F17" w:rsidP="00ED7F17">
      <w:pPr>
        <w:ind w:firstLine="709"/>
        <w:jc w:val="both"/>
      </w:pPr>
      <w:r>
        <w:t xml:space="preserve">Министерством здравоохранения Астраханской области определено в качестве приоритетного направления своей деятельности снижение смертности населения от БСК и достижение целевых значений, отраженных в региональном паспорте «Борьба с сердечно-сосудистыми заболеваниями» в рамках реализации комплекса мер по первичной и вторичной профилактике в установленные сроки. </w:t>
      </w:r>
    </w:p>
    <w:p w:rsidR="00ED7F17" w:rsidRDefault="00ED7F17" w:rsidP="00ED7F17">
      <w:pPr>
        <w:ind w:firstLine="709"/>
        <w:jc w:val="both"/>
      </w:pPr>
    </w:p>
    <w:p w:rsidR="00ED7F17" w:rsidRDefault="00ED7F17" w:rsidP="00ED7F17">
      <w:pPr>
        <w:jc w:val="center"/>
        <w:rPr>
          <w:rFonts w:ascii="Arial" w:eastAsia="Arial" w:hAnsi="Arial" w:cs="Arial"/>
          <w:sz w:val="22"/>
          <w:szCs w:val="22"/>
        </w:rPr>
      </w:pPr>
      <w:r>
        <w:rPr>
          <w:b/>
        </w:rPr>
        <w:t>Льготное лекарственное обеспечение</w:t>
      </w:r>
    </w:p>
    <w:p w:rsidR="00ED7F17" w:rsidRDefault="00ED7F17" w:rsidP="00ED7F17">
      <w:pPr>
        <w:pStyle w:val="16"/>
        <w:spacing w:before="0" w:after="0" w:line="276" w:lineRule="auto"/>
        <w:ind w:firstLine="709"/>
        <w:jc w:val="both"/>
      </w:pPr>
      <w:r>
        <w:t xml:space="preserve">В соответствии с </w:t>
      </w:r>
      <w:r>
        <w:rPr>
          <w:bCs/>
          <w:color w:val="26282F"/>
        </w:rPr>
        <w:t xml:space="preserve">Перечнем групп населения и категорий заболеваний, при амбулаторном лечении которых лекарственные средства и изделия медицинского назначения отпускаются по рецептам врачей бесплатно, утвержденным </w:t>
      </w:r>
      <w:r>
        <w:t>постановлением Правительства Российской Федерации от 30.07.94 № 890 «О государственной поддержке развития медицинской промышленности и улучшения обеспечения населения и учреждений здравоохранения лекарственными средствами и изделиями медицинского назначения» право на получение лекарственных препаратов бесплатно имеют лица, перенесшие инфаркт миокарда (первые шесть месяцев).</w:t>
      </w:r>
    </w:p>
    <w:p w:rsidR="00ED7F17" w:rsidRDefault="00ED7F17" w:rsidP="00ED7F17">
      <w:pPr>
        <w:ind w:firstLine="709"/>
        <w:jc w:val="both"/>
      </w:pPr>
      <w:r>
        <w:t>В Астраханской области лица, перенесшие инфаркт миокарда, первые шесть обеспечиваются лекарственными препаратами, н</w:t>
      </w:r>
      <w:r>
        <w:rPr>
          <w:bCs/>
          <w:color w:val="000000"/>
        </w:rPr>
        <w:t xml:space="preserve">еобходимыми для лечения данного заболевания, за счет средств бюджета. </w:t>
      </w:r>
    </w:p>
    <w:p w:rsidR="00ED7F17" w:rsidRDefault="00ED7F17" w:rsidP="00ED7F17">
      <w:pPr>
        <w:pStyle w:val="western"/>
        <w:spacing w:before="0" w:after="0" w:line="276" w:lineRule="auto"/>
        <w:ind w:firstLine="709"/>
        <w:jc w:val="both"/>
      </w:pPr>
      <w:r>
        <w:t>В 2017 году обеспечено 257 пациентов на сумму 254,07 тыс.рублей.</w:t>
      </w:r>
    </w:p>
    <w:p w:rsidR="00ED7F17" w:rsidRDefault="00ED7F17" w:rsidP="00ED7F17">
      <w:pPr>
        <w:pStyle w:val="western"/>
        <w:spacing w:before="0" w:after="0" w:line="276" w:lineRule="auto"/>
        <w:ind w:firstLine="709"/>
        <w:jc w:val="both"/>
      </w:pPr>
      <w:r>
        <w:t xml:space="preserve">В 2018 году обеспечено 324 человека на сумму 718,79 тыс.рублей. </w:t>
      </w:r>
    </w:p>
    <w:p w:rsidR="00ED7F17" w:rsidRDefault="00ED7F17" w:rsidP="00ED7F17">
      <w:pPr>
        <w:ind w:left="720" w:firstLine="709"/>
        <w:jc w:val="both"/>
        <w:rPr>
          <w:b/>
          <w:bCs/>
        </w:rPr>
      </w:pPr>
    </w:p>
    <w:p w:rsidR="00ED7F17" w:rsidRDefault="00ED7F17" w:rsidP="00ED7F17">
      <w:pPr>
        <w:ind w:left="720" w:firstLine="709"/>
        <w:jc w:val="both"/>
        <w:rPr>
          <w:rFonts w:ascii="Arial" w:hAnsi="Arial" w:cs="Arial"/>
          <w:sz w:val="22"/>
          <w:szCs w:val="22"/>
        </w:rPr>
      </w:pPr>
      <w:r>
        <w:rPr>
          <w:b/>
          <w:bCs/>
        </w:rPr>
        <w:t>Медицинская реабилитация в Астраханской области</w:t>
      </w:r>
    </w:p>
    <w:p w:rsidR="00ED7F17" w:rsidRDefault="00ED7F17" w:rsidP="00ED7F17">
      <w:pPr>
        <w:ind w:left="720" w:firstLine="709"/>
        <w:jc w:val="both"/>
        <w:rPr>
          <w:b/>
          <w:bCs/>
        </w:rPr>
      </w:pPr>
    </w:p>
    <w:p w:rsidR="00ED7F17" w:rsidRDefault="00ED7F17" w:rsidP="00ED7F17">
      <w:pPr>
        <w:widowControl w:val="0"/>
        <w:ind w:firstLine="709"/>
        <w:jc w:val="both"/>
        <w:rPr>
          <w:rFonts w:ascii="Arial" w:hAnsi="Arial" w:cs="Arial"/>
          <w:sz w:val="22"/>
          <w:szCs w:val="22"/>
        </w:rPr>
      </w:pPr>
      <w:r>
        <w:rPr>
          <w:rFonts w:eastAsia="SimSun"/>
          <w:kern w:val="2"/>
          <w:lang w:bidi="hi-IN"/>
        </w:rPr>
        <w:t xml:space="preserve">Система медицинской реабилитации в Астраханской области предполагает наличие в ней в равной степени полноправных составных частей: медицинской, профессиональной и социальной реабилитации. Помимо высокой потребности в реабилитационных мероприятиях среди вновь заболевших и получивших травмы пациентов, имеется потребность в медицинской реабилитации хроскораянических больных. Реализация мероприятий подпрограммы </w:t>
      </w:r>
      <w:r>
        <w:rPr>
          <w:rFonts w:eastAsia="SimSun"/>
          <w:bCs/>
          <w:kern w:val="2"/>
          <w:lang w:bidi="hi-IN"/>
        </w:rPr>
        <w:t xml:space="preserve">позволит </w:t>
      </w:r>
      <w:r>
        <w:rPr>
          <w:rFonts w:eastAsia="SimSun"/>
          <w:kern w:val="2"/>
          <w:lang w:bidi="hi-IN"/>
        </w:rPr>
        <w:t>увеличить продолжительность активного периода жизни жителей Астраханской области и обеспечить доступность реабилитационной медицинской помощи  населению пенсионного возраста.</w:t>
      </w:r>
    </w:p>
    <w:p w:rsidR="00ED7F17" w:rsidRDefault="00ED7F17" w:rsidP="00ED7F17">
      <w:pPr>
        <w:widowControl w:val="0"/>
        <w:ind w:firstLine="709"/>
        <w:jc w:val="both"/>
      </w:pPr>
      <w:r>
        <w:rPr>
          <w:rFonts w:eastAsia="SimSun"/>
          <w:bCs/>
          <w:color w:val="000000"/>
          <w:kern w:val="2"/>
          <w:lang w:eastAsia="ru-RU" w:bidi="hi-IN"/>
        </w:rPr>
        <w:t>В соответствии с Приказом Минздрава России от 29.12.2012 №1705н «О порядке организации медицинской реабилитации» медицинская реабилитация осуществляется в три этапа в зависимости от тяжести состояния пациентам. М</w:t>
      </w:r>
      <w:r>
        <w:rPr>
          <w:bCs/>
          <w:color w:val="000000"/>
          <w:kern w:val="2"/>
          <w:lang w:eastAsia="ru-RU" w:bidi="hi-IN"/>
        </w:rPr>
        <w:t>едицинская реабилитация населению Астраханской области осуществляется в рамках Программы государственных гарантий бесплатного оказания гражданам медицинской помощи на территории Астраханской области, утвержденной постановлением Правительства Астраханской области от 29.12.2018 №615-П (далее – Программа).</w:t>
      </w:r>
    </w:p>
    <w:p w:rsidR="00ED7F17" w:rsidRDefault="00ED7F17" w:rsidP="00ED7F17">
      <w:pPr>
        <w:widowControl w:val="0"/>
        <w:ind w:firstLine="709"/>
        <w:jc w:val="both"/>
        <w:textAlignment w:val="baseline"/>
      </w:pPr>
      <w:r>
        <w:rPr>
          <w:rFonts w:eastAsia="Andale Sans UI"/>
          <w:color w:val="000000"/>
          <w:kern w:val="2"/>
          <w:lang w:eastAsia="ru-RU" w:bidi="hi-IN"/>
        </w:rPr>
        <w:t>В рамках «Тарифного соглашения на оплату медицинской помощи в системе обязательного медицинского страхования в Астраханской области на 2019 год», утвержденного 25.01.2019 базовая ставка финансирования единицы объема медицинской помощи для круглосуточного стационара составляет на 1 случай - 20 853,40 рублей, дневного стационара всех типов — 12 919,81 рубль и амбулаторно-поликлинической помощи на 1 обращение по поводу заболевания 1 049,30 рублей.</w:t>
      </w:r>
    </w:p>
    <w:p w:rsidR="00ED7F17" w:rsidRDefault="00ED7F17" w:rsidP="00ED7F17">
      <w:pPr>
        <w:widowControl w:val="0"/>
        <w:ind w:firstLine="850"/>
        <w:jc w:val="both"/>
        <w:textAlignment w:val="baseline"/>
        <w:rPr>
          <w:rFonts w:eastAsia="Andale Sans UI"/>
          <w:color w:val="000000"/>
          <w:kern w:val="2"/>
          <w:lang w:eastAsia="ru-RU" w:bidi="hi-IN"/>
        </w:rPr>
      </w:pPr>
    </w:p>
    <w:p w:rsidR="00ED7F17" w:rsidRDefault="00ED7F17" w:rsidP="00ED7F17">
      <w:pPr>
        <w:widowControl w:val="0"/>
        <w:jc w:val="center"/>
        <w:textAlignment w:val="baseline"/>
        <w:rPr>
          <w:rFonts w:ascii="Arial" w:eastAsia="Arial" w:hAnsi="Arial" w:cs="Arial"/>
          <w:sz w:val="22"/>
          <w:szCs w:val="22"/>
        </w:rPr>
      </w:pPr>
      <w:r>
        <w:rPr>
          <w:rFonts w:eastAsia="Andale Sans UI"/>
          <w:b/>
          <w:color w:val="000000"/>
          <w:kern w:val="2"/>
          <w:lang w:eastAsia="ru-RU" w:bidi="hi-IN"/>
        </w:rPr>
        <w:t>Базовая ставка финансирования</w:t>
      </w:r>
    </w:p>
    <w:p w:rsidR="00ED7F17" w:rsidRDefault="00ED7F17" w:rsidP="00ED7F17">
      <w:pPr>
        <w:widowControl w:val="0"/>
        <w:jc w:val="center"/>
        <w:textAlignment w:val="baseline"/>
      </w:pPr>
      <w:r>
        <w:rPr>
          <w:rFonts w:eastAsia="Andale Sans UI"/>
          <w:b/>
          <w:color w:val="000000"/>
          <w:kern w:val="2"/>
          <w:lang w:eastAsia="ru-RU" w:bidi="hi-IN"/>
        </w:rPr>
        <w:t>единицы объема медицинской помощи*</w:t>
      </w:r>
    </w:p>
    <w:p w:rsidR="00ED7F17" w:rsidRDefault="00ED7F17" w:rsidP="00ED7F17">
      <w:pPr>
        <w:widowControl w:val="0"/>
        <w:jc w:val="center"/>
        <w:textAlignment w:val="baseline"/>
        <w:rPr>
          <w:rFonts w:eastAsia="Andale Sans UI"/>
          <w:b/>
          <w:color w:val="000000"/>
          <w:kern w:val="2"/>
          <w:lang w:eastAsia="ru-RU" w:bidi="hi-IN"/>
        </w:rPr>
      </w:pPr>
    </w:p>
    <w:tbl>
      <w:tblPr>
        <w:tblW w:w="0" w:type="auto"/>
        <w:tblInd w:w="-341" w:type="dxa"/>
        <w:tblLayout w:type="fixed"/>
        <w:tblCellMar>
          <w:left w:w="5" w:type="dxa"/>
          <w:right w:w="10" w:type="dxa"/>
        </w:tblCellMar>
        <w:tblLook w:val="04A0" w:firstRow="1" w:lastRow="0" w:firstColumn="1" w:lastColumn="0" w:noHBand="0" w:noVBand="1"/>
      </w:tblPr>
      <w:tblGrid>
        <w:gridCol w:w="4017"/>
        <w:gridCol w:w="2986"/>
        <w:gridCol w:w="2889"/>
      </w:tblGrid>
      <w:tr w:rsidR="00ED7F17" w:rsidTr="00ED7F17">
        <w:tc>
          <w:tcPr>
            <w:tcW w:w="4017" w:type="dxa"/>
            <w:tcBorders>
              <w:top w:val="single" w:sz="4" w:space="0" w:color="000001"/>
              <w:left w:val="single" w:sz="4" w:space="0" w:color="000001"/>
              <w:bottom w:val="single" w:sz="4" w:space="0" w:color="000001"/>
              <w:right w:val="nil"/>
            </w:tcBorders>
            <w:shd w:val="clear" w:color="auto" w:fill="FFFFFF"/>
            <w:vAlign w:val="center"/>
            <w:hideMark/>
          </w:tcPr>
          <w:p w:rsidR="00ED7F17" w:rsidRDefault="00ED7F17">
            <w:pPr>
              <w:widowControl w:val="0"/>
              <w:jc w:val="center"/>
              <w:textAlignment w:val="baseline"/>
              <w:rPr>
                <w:rFonts w:ascii="Arial" w:eastAsia="Arial" w:hAnsi="Arial" w:cs="Arial"/>
                <w:sz w:val="22"/>
                <w:szCs w:val="22"/>
              </w:rPr>
            </w:pPr>
            <w:r>
              <w:rPr>
                <w:rFonts w:eastAsia="Andale Sans UI"/>
                <w:b/>
                <w:color w:val="000000"/>
                <w:kern w:val="2"/>
                <w:lang w:eastAsia="ru-RU" w:bidi="hi-IN"/>
              </w:rPr>
              <w:t>Вид и условия оказания медицинской помощи</w:t>
            </w:r>
          </w:p>
        </w:tc>
        <w:tc>
          <w:tcPr>
            <w:tcW w:w="2986" w:type="dxa"/>
            <w:tcBorders>
              <w:top w:val="single" w:sz="4" w:space="0" w:color="000001"/>
              <w:left w:val="single" w:sz="4" w:space="0" w:color="000001"/>
              <w:bottom w:val="single" w:sz="4" w:space="0" w:color="000001"/>
              <w:right w:val="nil"/>
            </w:tcBorders>
            <w:shd w:val="clear" w:color="auto" w:fill="FFFFFF"/>
            <w:vAlign w:val="center"/>
            <w:hideMark/>
          </w:tcPr>
          <w:p w:rsidR="00ED7F17" w:rsidRDefault="00ED7F17">
            <w:pPr>
              <w:widowControl w:val="0"/>
              <w:jc w:val="center"/>
              <w:textAlignment w:val="baseline"/>
              <w:rPr>
                <w:rFonts w:ascii="Arial" w:eastAsia="Arial" w:hAnsi="Arial" w:cs="Arial"/>
                <w:sz w:val="22"/>
                <w:szCs w:val="22"/>
              </w:rPr>
            </w:pPr>
            <w:r>
              <w:rPr>
                <w:rFonts w:eastAsia="Andale Sans UI"/>
                <w:b/>
                <w:color w:val="000000"/>
                <w:kern w:val="2"/>
                <w:lang w:eastAsia="ru-RU" w:bidi="hi-IN"/>
              </w:rPr>
              <w:t>Единица объема</w:t>
            </w:r>
          </w:p>
        </w:tc>
        <w:tc>
          <w:tcPr>
            <w:tcW w:w="2889" w:type="dxa"/>
            <w:tcBorders>
              <w:top w:val="single" w:sz="4" w:space="0" w:color="000001"/>
              <w:left w:val="single" w:sz="4" w:space="0" w:color="000001"/>
              <w:bottom w:val="single" w:sz="4" w:space="0" w:color="000001"/>
              <w:right w:val="single" w:sz="4" w:space="0" w:color="000001"/>
            </w:tcBorders>
            <w:shd w:val="clear" w:color="auto" w:fill="FFFFFF"/>
            <w:vAlign w:val="center"/>
            <w:hideMark/>
          </w:tcPr>
          <w:p w:rsidR="00ED7F17" w:rsidRDefault="00ED7F17">
            <w:pPr>
              <w:widowControl w:val="0"/>
              <w:jc w:val="center"/>
              <w:textAlignment w:val="baseline"/>
              <w:rPr>
                <w:rFonts w:ascii="Arial" w:eastAsia="Arial" w:hAnsi="Arial" w:cs="Arial"/>
                <w:sz w:val="22"/>
                <w:szCs w:val="22"/>
              </w:rPr>
            </w:pPr>
            <w:r>
              <w:rPr>
                <w:rFonts w:eastAsia="Andale Sans UI"/>
                <w:b/>
                <w:color w:val="000000"/>
                <w:kern w:val="2"/>
                <w:lang w:eastAsia="ru-RU" w:bidi="hi-IN"/>
              </w:rPr>
              <w:t>Стоимость (руб.)</w:t>
            </w:r>
          </w:p>
        </w:tc>
      </w:tr>
      <w:tr w:rsidR="00ED7F17" w:rsidTr="00ED7F17">
        <w:tc>
          <w:tcPr>
            <w:tcW w:w="4017" w:type="dxa"/>
            <w:tcBorders>
              <w:top w:val="single" w:sz="4" w:space="0" w:color="000001"/>
              <w:left w:val="single" w:sz="4" w:space="0" w:color="000001"/>
              <w:bottom w:val="single" w:sz="4" w:space="0" w:color="000001"/>
              <w:right w:val="nil"/>
            </w:tcBorders>
            <w:shd w:val="clear" w:color="auto" w:fill="FFFFFF"/>
            <w:hideMark/>
          </w:tcPr>
          <w:p w:rsidR="00ED7F17" w:rsidRDefault="00ED7F17">
            <w:pPr>
              <w:widowControl w:val="0"/>
              <w:textAlignment w:val="baseline"/>
              <w:rPr>
                <w:rFonts w:ascii="Arial" w:eastAsia="Arial" w:hAnsi="Arial" w:cs="Arial"/>
                <w:sz w:val="22"/>
                <w:szCs w:val="22"/>
              </w:rPr>
            </w:pPr>
            <w:r>
              <w:rPr>
                <w:rFonts w:eastAsia="Andale Sans UI"/>
                <w:color w:val="000000"/>
                <w:kern w:val="2"/>
                <w:lang w:eastAsia="ru-RU" w:bidi="hi-IN"/>
              </w:rPr>
              <w:t>Круглосуточный стационар (без ВМП)</w:t>
            </w:r>
          </w:p>
        </w:tc>
        <w:tc>
          <w:tcPr>
            <w:tcW w:w="2986" w:type="dxa"/>
            <w:tcBorders>
              <w:top w:val="single" w:sz="4" w:space="0" w:color="000001"/>
              <w:left w:val="single" w:sz="4" w:space="0" w:color="000001"/>
              <w:bottom w:val="single" w:sz="4" w:space="0" w:color="000001"/>
              <w:right w:val="nil"/>
            </w:tcBorders>
            <w:shd w:val="clear" w:color="auto" w:fill="FFFFFF"/>
            <w:vAlign w:val="center"/>
            <w:hideMark/>
          </w:tcPr>
          <w:p w:rsidR="00ED7F17" w:rsidRDefault="00ED7F17">
            <w:pPr>
              <w:widowControl w:val="0"/>
              <w:jc w:val="center"/>
              <w:textAlignment w:val="baseline"/>
              <w:rPr>
                <w:rFonts w:ascii="Arial" w:eastAsia="Arial" w:hAnsi="Arial" w:cs="Arial"/>
                <w:sz w:val="22"/>
                <w:szCs w:val="22"/>
              </w:rPr>
            </w:pPr>
            <w:r>
              <w:rPr>
                <w:rFonts w:eastAsia="Andale Sans UI"/>
                <w:color w:val="000000"/>
                <w:kern w:val="2"/>
                <w:lang w:eastAsia="ru-RU" w:bidi="hi-IN"/>
              </w:rPr>
              <w:t>1 случай</w:t>
            </w:r>
          </w:p>
        </w:tc>
        <w:tc>
          <w:tcPr>
            <w:tcW w:w="2889" w:type="dxa"/>
            <w:tcBorders>
              <w:top w:val="single" w:sz="4" w:space="0" w:color="000001"/>
              <w:left w:val="single" w:sz="4" w:space="0" w:color="000001"/>
              <w:bottom w:val="single" w:sz="4" w:space="0" w:color="000001"/>
              <w:right w:val="single" w:sz="4" w:space="0" w:color="000001"/>
            </w:tcBorders>
            <w:shd w:val="clear" w:color="auto" w:fill="FFFFFF"/>
            <w:vAlign w:val="center"/>
            <w:hideMark/>
          </w:tcPr>
          <w:p w:rsidR="00ED7F17" w:rsidRDefault="00ED7F17">
            <w:pPr>
              <w:widowControl w:val="0"/>
              <w:jc w:val="center"/>
              <w:textAlignment w:val="baseline"/>
              <w:rPr>
                <w:rFonts w:ascii="Arial" w:eastAsia="Arial" w:hAnsi="Arial" w:cs="Arial"/>
                <w:sz w:val="22"/>
                <w:szCs w:val="22"/>
              </w:rPr>
            </w:pPr>
            <w:r>
              <w:rPr>
                <w:rFonts w:eastAsia="Andale Sans UI"/>
                <w:color w:val="000000"/>
                <w:kern w:val="2"/>
                <w:lang w:eastAsia="ru-RU" w:bidi="hi-IN"/>
              </w:rPr>
              <w:t>20 853,40</w:t>
            </w:r>
          </w:p>
        </w:tc>
      </w:tr>
      <w:tr w:rsidR="00ED7F17" w:rsidTr="00ED7F17">
        <w:tc>
          <w:tcPr>
            <w:tcW w:w="4017" w:type="dxa"/>
            <w:tcBorders>
              <w:top w:val="single" w:sz="4" w:space="0" w:color="000001"/>
              <w:left w:val="single" w:sz="4" w:space="0" w:color="000001"/>
              <w:bottom w:val="single" w:sz="4" w:space="0" w:color="000001"/>
              <w:right w:val="nil"/>
            </w:tcBorders>
            <w:shd w:val="clear" w:color="auto" w:fill="FFFFFF"/>
            <w:hideMark/>
          </w:tcPr>
          <w:p w:rsidR="00ED7F17" w:rsidRDefault="00ED7F17">
            <w:pPr>
              <w:widowControl w:val="0"/>
              <w:textAlignment w:val="baseline"/>
              <w:rPr>
                <w:rFonts w:ascii="Arial" w:eastAsia="Arial" w:hAnsi="Arial" w:cs="Arial"/>
                <w:sz w:val="22"/>
                <w:szCs w:val="22"/>
              </w:rPr>
            </w:pPr>
            <w:r>
              <w:rPr>
                <w:rFonts w:eastAsia="Andale Sans UI"/>
                <w:color w:val="000000"/>
                <w:kern w:val="2"/>
                <w:lang w:eastAsia="ru-RU" w:bidi="hi-IN"/>
              </w:rPr>
              <w:t>Дневной стационар  всех типов</w:t>
            </w:r>
          </w:p>
        </w:tc>
        <w:tc>
          <w:tcPr>
            <w:tcW w:w="2986" w:type="dxa"/>
            <w:tcBorders>
              <w:top w:val="single" w:sz="4" w:space="0" w:color="000001"/>
              <w:left w:val="single" w:sz="4" w:space="0" w:color="000001"/>
              <w:bottom w:val="single" w:sz="4" w:space="0" w:color="000001"/>
              <w:right w:val="nil"/>
            </w:tcBorders>
            <w:shd w:val="clear" w:color="auto" w:fill="FFFFFF"/>
            <w:vAlign w:val="center"/>
            <w:hideMark/>
          </w:tcPr>
          <w:p w:rsidR="00ED7F17" w:rsidRDefault="00ED7F17">
            <w:pPr>
              <w:widowControl w:val="0"/>
              <w:jc w:val="center"/>
              <w:textAlignment w:val="baseline"/>
              <w:rPr>
                <w:rFonts w:ascii="Arial" w:eastAsia="Arial" w:hAnsi="Arial" w:cs="Arial"/>
                <w:sz w:val="22"/>
                <w:szCs w:val="22"/>
              </w:rPr>
            </w:pPr>
            <w:r>
              <w:rPr>
                <w:rFonts w:eastAsia="Andale Sans UI"/>
                <w:color w:val="000000"/>
                <w:kern w:val="2"/>
                <w:lang w:eastAsia="ru-RU" w:bidi="hi-IN"/>
              </w:rPr>
              <w:t>1 случай</w:t>
            </w:r>
          </w:p>
        </w:tc>
        <w:tc>
          <w:tcPr>
            <w:tcW w:w="2889" w:type="dxa"/>
            <w:tcBorders>
              <w:top w:val="single" w:sz="4" w:space="0" w:color="000001"/>
              <w:left w:val="single" w:sz="4" w:space="0" w:color="000001"/>
              <w:bottom w:val="single" w:sz="4" w:space="0" w:color="000001"/>
              <w:right w:val="single" w:sz="4" w:space="0" w:color="000001"/>
            </w:tcBorders>
            <w:shd w:val="clear" w:color="auto" w:fill="FFFFFF"/>
            <w:vAlign w:val="center"/>
            <w:hideMark/>
          </w:tcPr>
          <w:p w:rsidR="00ED7F17" w:rsidRDefault="00ED7F17">
            <w:pPr>
              <w:widowControl w:val="0"/>
              <w:jc w:val="center"/>
              <w:textAlignment w:val="baseline"/>
              <w:rPr>
                <w:rFonts w:ascii="Arial" w:eastAsia="Arial" w:hAnsi="Arial" w:cs="Arial"/>
                <w:sz w:val="22"/>
                <w:szCs w:val="22"/>
              </w:rPr>
            </w:pPr>
            <w:r>
              <w:rPr>
                <w:rFonts w:eastAsia="Andale Sans UI"/>
                <w:color w:val="000000"/>
                <w:kern w:val="2"/>
                <w:lang w:eastAsia="ru-RU" w:bidi="hi-IN"/>
              </w:rPr>
              <w:t>12 919,81</w:t>
            </w:r>
          </w:p>
        </w:tc>
      </w:tr>
      <w:tr w:rsidR="00ED7F17" w:rsidTr="00ED7F17">
        <w:trPr>
          <w:trHeight w:val="427"/>
        </w:trPr>
        <w:tc>
          <w:tcPr>
            <w:tcW w:w="4017" w:type="dxa"/>
            <w:tcBorders>
              <w:top w:val="single" w:sz="4" w:space="0" w:color="000001"/>
              <w:left w:val="single" w:sz="4" w:space="0" w:color="00000A"/>
              <w:bottom w:val="single" w:sz="4" w:space="0" w:color="000001"/>
              <w:right w:val="nil"/>
            </w:tcBorders>
            <w:shd w:val="clear" w:color="auto" w:fill="FFFFFF"/>
            <w:hideMark/>
          </w:tcPr>
          <w:p w:rsidR="00ED7F17" w:rsidRDefault="00ED7F17">
            <w:pPr>
              <w:widowControl w:val="0"/>
              <w:jc w:val="both"/>
              <w:textAlignment w:val="baseline"/>
              <w:rPr>
                <w:rFonts w:ascii="Arial" w:eastAsia="Arial" w:hAnsi="Arial" w:cs="Arial"/>
                <w:sz w:val="22"/>
                <w:szCs w:val="22"/>
              </w:rPr>
            </w:pPr>
            <w:r>
              <w:rPr>
                <w:rFonts w:eastAsia="Andale Sans UI"/>
                <w:color w:val="000000"/>
                <w:kern w:val="2"/>
                <w:lang w:eastAsia="ru-RU" w:bidi="hi-IN"/>
              </w:rPr>
              <w:t>Амбулаторно-поликлиническая помощь</w:t>
            </w:r>
          </w:p>
        </w:tc>
        <w:tc>
          <w:tcPr>
            <w:tcW w:w="2986" w:type="dxa"/>
            <w:tcBorders>
              <w:top w:val="single" w:sz="4" w:space="0" w:color="00000A"/>
              <w:left w:val="single" w:sz="4" w:space="0" w:color="00000A"/>
              <w:bottom w:val="single" w:sz="4" w:space="0" w:color="00000A"/>
              <w:right w:val="nil"/>
            </w:tcBorders>
            <w:shd w:val="clear" w:color="auto" w:fill="FFFFFF"/>
            <w:vAlign w:val="center"/>
            <w:hideMark/>
          </w:tcPr>
          <w:p w:rsidR="00ED7F17" w:rsidRDefault="00ED7F17">
            <w:pPr>
              <w:widowControl w:val="0"/>
              <w:jc w:val="center"/>
              <w:textAlignment w:val="baseline"/>
              <w:rPr>
                <w:rFonts w:ascii="Arial" w:eastAsia="Arial" w:hAnsi="Arial" w:cs="Arial"/>
                <w:sz w:val="22"/>
                <w:szCs w:val="22"/>
              </w:rPr>
            </w:pPr>
            <w:r>
              <w:rPr>
                <w:rFonts w:eastAsia="Andale Sans UI"/>
                <w:color w:val="000000"/>
                <w:kern w:val="2"/>
                <w:lang w:eastAsia="ru-RU" w:bidi="hi-IN"/>
              </w:rPr>
              <w:t>1 обращение по поводу заболевания</w:t>
            </w:r>
          </w:p>
        </w:tc>
        <w:tc>
          <w:tcPr>
            <w:tcW w:w="2889"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ED7F17" w:rsidRDefault="00ED7F17">
            <w:pPr>
              <w:widowControl w:val="0"/>
              <w:jc w:val="center"/>
              <w:textAlignment w:val="baseline"/>
              <w:rPr>
                <w:rFonts w:ascii="Arial" w:eastAsia="Arial" w:hAnsi="Arial" w:cs="Arial"/>
                <w:sz w:val="22"/>
                <w:szCs w:val="22"/>
              </w:rPr>
            </w:pPr>
            <w:r>
              <w:rPr>
                <w:rFonts w:eastAsia="Andale Sans UI"/>
                <w:color w:val="000000"/>
                <w:kern w:val="2"/>
                <w:lang w:eastAsia="ru-RU" w:bidi="hi-IN"/>
              </w:rPr>
              <w:t>1 049,30</w:t>
            </w:r>
          </w:p>
          <w:p w:rsidR="00ED7F17" w:rsidRDefault="00ED7F17">
            <w:pPr>
              <w:widowControl w:val="0"/>
              <w:jc w:val="center"/>
              <w:textAlignment w:val="baseline"/>
              <w:rPr>
                <w:rFonts w:eastAsia="Andale Sans UI"/>
                <w:color w:val="000000"/>
                <w:kern w:val="2"/>
                <w:lang w:eastAsia="ru-RU" w:bidi="hi-IN"/>
              </w:rPr>
            </w:pPr>
          </w:p>
        </w:tc>
      </w:tr>
    </w:tbl>
    <w:p w:rsidR="00ED7F17" w:rsidRDefault="00ED7F17" w:rsidP="00ED7F17">
      <w:pPr>
        <w:widowControl w:val="0"/>
        <w:ind w:firstLine="709"/>
        <w:jc w:val="both"/>
        <w:rPr>
          <w:rFonts w:eastAsia="SimSun"/>
          <w:bCs/>
          <w:color w:val="000000"/>
          <w:kern w:val="2"/>
          <w:lang w:bidi="hi-IN"/>
        </w:rPr>
      </w:pPr>
    </w:p>
    <w:p w:rsidR="00ED7F17" w:rsidRDefault="00ED7F17" w:rsidP="00ED7F17">
      <w:pPr>
        <w:widowControl w:val="0"/>
        <w:ind w:firstLine="709"/>
        <w:jc w:val="both"/>
        <w:rPr>
          <w:rFonts w:ascii="Arial" w:eastAsia="Arial" w:hAnsi="Arial" w:cs="Arial"/>
          <w:sz w:val="22"/>
          <w:szCs w:val="22"/>
        </w:rPr>
      </w:pPr>
      <w:r>
        <w:rPr>
          <w:rFonts w:eastAsia="SimSun"/>
          <w:bCs/>
          <w:color w:val="000000"/>
          <w:kern w:val="2"/>
          <w:lang w:bidi="hi-IN"/>
        </w:rPr>
        <w:t xml:space="preserve">Первый этап медицинской реабилитации пациентов с ОКС/ОНМК осуществляется в условиях неврологических и кардиологических отделений, входящих в структуру ПСО и РСЦ региона мультидисциплинарными бригадами. </w:t>
      </w:r>
    </w:p>
    <w:p w:rsidR="00ED7F17" w:rsidRDefault="00ED7F17" w:rsidP="00ED7F17">
      <w:pPr>
        <w:ind w:firstLine="709"/>
        <w:jc w:val="both"/>
      </w:pPr>
      <w:r>
        <w:rPr>
          <w:rFonts w:eastAsia="Calibri"/>
          <w:iCs/>
        </w:rPr>
        <w:t xml:space="preserve">Медицинская реабилитация для пациентов, перенесших ОНМК/ОКС, организована на 2 и 3 уровне на базе ГБУЗ АО «ГКБ №3 С.М. Кирова», НУЗ «Отделенческая больница на станции Астрахань-1 ОАО «РЖД», ЧУЗ «Медико-санитарная часть», ФБУ центр реабилитации фонда социального страхования Российской Федерации «Тинаки».  Астраханская область в рамках норматива с учетом численности населения обеспечена достаточным количеством коек медицинской реабилитации. В 2019 году для медицинской реабилитации пациентов с БСК развернуто 108 коек, что на 30% больше, чем в 2018 году (83 койки). </w:t>
      </w:r>
    </w:p>
    <w:p w:rsidR="00ED7F17" w:rsidRDefault="00ED7F17" w:rsidP="00ED7F17">
      <w:pPr>
        <w:widowControl w:val="0"/>
        <w:ind w:firstLine="709"/>
        <w:jc w:val="both"/>
      </w:pPr>
      <w:r>
        <w:rPr>
          <w:rFonts w:eastAsia="SimSun"/>
          <w:bCs/>
          <w:color w:val="000000"/>
          <w:kern w:val="2"/>
          <w:lang w:bidi="hi-IN"/>
        </w:rPr>
        <w:t>Медицинскую помощь на 2 этапе можно получить в следующих медицинских учреждениях:</w:t>
      </w:r>
    </w:p>
    <w:p w:rsidR="00ED7F17" w:rsidRDefault="00ED7F17" w:rsidP="00ED7F17">
      <w:pPr>
        <w:widowControl w:val="0"/>
        <w:ind w:firstLine="510"/>
        <w:jc w:val="both"/>
      </w:pPr>
      <w:r>
        <w:rPr>
          <w:color w:val="000000"/>
          <w:kern w:val="2"/>
          <w:lang w:bidi="hi-IN"/>
        </w:rPr>
        <w:t>ГБУЗ АО «Городская клиническая больница №3 им. С.М.Кирова»;</w:t>
      </w:r>
    </w:p>
    <w:p w:rsidR="00ED7F17" w:rsidRDefault="00ED7F17" w:rsidP="00ED7F17">
      <w:pPr>
        <w:widowControl w:val="0"/>
        <w:ind w:firstLine="510"/>
        <w:jc w:val="both"/>
      </w:pPr>
      <w:r>
        <w:rPr>
          <w:color w:val="000000"/>
          <w:kern w:val="2"/>
          <w:lang w:bidi="hi-IN"/>
        </w:rPr>
        <w:t>ЧУЗ «Медико-санитарная часть»;</w:t>
      </w:r>
    </w:p>
    <w:p w:rsidR="00ED7F17" w:rsidRDefault="00ED7F17" w:rsidP="00ED7F17">
      <w:pPr>
        <w:widowControl w:val="0"/>
        <w:ind w:firstLine="510"/>
        <w:jc w:val="both"/>
      </w:pPr>
      <w:r>
        <w:rPr>
          <w:color w:val="000000"/>
          <w:kern w:val="2"/>
          <w:lang w:bidi="hi-IN"/>
        </w:rPr>
        <w:t>НУЗ «Отделенческая больница на ст. Астрахань 1 ОАО «РЖД»;</w:t>
      </w:r>
    </w:p>
    <w:p w:rsidR="00ED7F17" w:rsidRDefault="00ED7F17" w:rsidP="00ED7F17">
      <w:pPr>
        <w:widowControl w:val="0"/>
        <w:ind w:firstLine="510"/>
        <w:jc w:val="both"/>
      </w:pPr>
      <w:r>
        <w:rPr>
          <w:color w:val="000000"/>
          <w:kern w:val="2"/>
          <w:lang w:bidi="hi-IN"/>
        </w:rPr>
        <w:t>ФБУ Центр реабилитации фонда социального страхования РФ «Тинаки».</w:t>
      </w:r>
    </w:p>
    <w:p w:rsidR="00ED7F17" w:rsidRDefault="00ED7F17" w:rsidP="00ED7F17">
      <w:pPr>
        <w:widowControl w:val="0"/>
        <w:ind w:firstLine="709"/>
        <w:jc w:val="both"/>
      </w:pPr>
      <w:r>
        <w:rPr>
          <w:rFonts w:eastAsia="SimSun"/>
          <w:bCs/>
          <w:color w:val="000000"/>
          <w:kern w:val="2"/>
          <w:lang w:bidi="hi-IN"/>
        </w:rPr>
        <w:t>На 2 этапе медицинская реабилитация взрослым пациентам осуществляется по профилям:</w:t>
      </w:r>
    </w:p>
    <w:p w:rsidR="00ED7F17" w:rsidRDefault="00ED7F17" w:rsidP="00ED7F17">
      <w:pPr>
        <w:widowControl w:val="0"/>
        <w:ind w:firstLine="709"/>
        <w:jc w:val="both"/>
      </w:pPr>
      <w:r>
        <w:rPr>
          <w:rFonts w:eastAsia="SimSun"/>
          <w:bCs/>
          <w:color w:val="000000"/>
          <w:kern w:val="2"/>
          <w:lang w:bidi="hi-IN"/>
        </w:rPr>
        <w:t>- медицинская реабилитация с заболеваниями ЦНС (ГКБ №3-494 случая, ОАО «РЖД» - 235 случаев,ЧУЗ «МСЧ»- 225, ФБУ «Тинаки»- 107);</w:t>
      </w:r>
    </w:p>
    <w:p w:rsidR="00ED7F17" w:rsidRDefault="00ED7F17" w:rsidP="00ED7F17">
      <w:pPr>
        <w:widowControl w:val="0"/>
        <w:ind w:firstLine="709"/>
        <w:jc w:val="both"/>
      </w:pPr>
      <w:r>
        <w:rPr>
          <w:rFonts w:eastAsia="SimSun"/>
          <w:bCs/>
          <w:color w:val="000000"/>
          <w:kern w:val="2"/>
          <w:lang w:bidi="hi-IN"/>
        </w:rPr>
        <w:t>- медицинская реабилитация пациентов с заболеваниями опорно-двигательного аппарата и периферической нервной системы: (ГКБ №3-61случай, ОАО «РЖД» - 154, ФБУ «Тинаки» - 104);</w:t>
      </w:r>
    </w:p>
    <w:p w:rsidR="00ED7F17" w:rsidRDefault="00ED7F17" w:rsidP="00ED7F17">
      <w:pPr>
        <w:widowControl w:val="0"/>
        <w:ind w:firstLine="709"/>
        <w:jc w:val="both"/>
      </w:pPr>
      <w:r>
        <w:rPr>
          <w:rFonts w:eastAsia="SimSun"/>
          <w:bCs/>
          <w:color w:val="000000"/>
          <w:kern w:val="2"/>
          <w:lang w:bidi="hi-IN"/>
        </w:rPr>
        <w:t>- медицинская кардиореабилитации (ГКБ №3 – 94, ОАО «РЖД» -183, ЧУЗ «МСЧ» - 102, ФБУ «Тинаки» - 25).</w:t>
      </w:r>
    </w:p>
    <w:p w:rsidR="00ED7F17" w:rsidRDefault="00ED7F17" w:rsidP="00ED7F17">
      <w:pPr>
        <w:widowControl w:val="0"/>
        <w:ind w:firstLine="709"/>
        <w:jc w:val="both"/>
      </w:pPr>
      <w:r>
        <w:rPr>
          <w:rFonts w:eastAsia="SimSun"/>
          <w:bCs/>
          <w:color w:val="000000"/>
          <w:kern w:val="2"/>
          <w:lang w:bidi="hi-IN"/>
        </w:rPr>
        <w:t>- медицинская реабилитация пациентов при других соматических заболеваниях (ОАО «РЖД» 15 случаев).</w:t>
      </w:r>
    </w:p>
    <w:p w:rsidR="00ED7F17" w:rsidRDefault="00ED7F17" w:rsidP="00ED7F17">
      <w:pPr>
        <w:widowControl w:val="0"/>
        <w:ind w:firstLine="510"/>
        <w:jc w:val="both"/>
      </w:pPr>
      <w:r>
        <w:rPr>
          <w:color w:val="000000"/>
          <w:kern w:val="2"/>
          <w:lang w:bidi="hi-IN"/>
        </w:rPr>
        <w:t xml:space="preserve">На 3 этапе </w:t>
      </w:r>
      <w:r>
        <w:rPr>
          <w:bCs/>
          <w:color w:val="000000"/>
          <w:kern w:val="2"/>
          <w:lang w:bidi="hi-IN"/>
        </w:rPr>
        <w:t>медицинской реабилитации пациентам получить медицинскую помощь в следующих медицинских учреждениях:</w:t>
      </w:r>
      <w:r>
        <w:rPr>
          <w:color w:val="000000"/>
          <w:kern w:val="2"/>
          <w:lang w:bidi="hi-IN"/>
        </w:rPr>
        <w:t xml:space="preserve"> </w:t>
      </w:r>
    </w:p>
    <w:p w:rsidR="00ED7F17" w:rsidRDefault="00ED7F17" w:rsidP="00ED7F17">
      <w:pPr>
        <w:widowControl w:val="0"/>
        <w:ind w:firstLine="510"/>
        <w:jc w:val="both"/>
      </w:pPr>
      <w:r>
        <w:rPr>
          <w:color w:val="000000"/>
          <w:kern w:val="2"/>
          <w:lang w:bidi="hi-IN"/>
        </w:rPr>
        <w:t>- ГБУЗ АО «Городская поликлиника №5»;</w:t>
      </w:r>
    </w:p>
    <w:p w:rsidR="00ED7F17" w:rsidRDefault="00ED7F17" w:rsidP="00ED7F17">
      <w:pPr>
        <w:widowControl w:val="0"/>
        <w:ind w:firstLine="510"/>
        <w:jc w:val="both"/>
      </w:pPr>
      <w:r>
        <w:rPr>
          <w:color w:val="000000"/>
          <w:kern w:val="2"/>
          <w:lang w:bidi="hi-IN"/>
        </w:rPr>
        <w:t>- ООО «Медиал»;</w:t>
      </w:r>
    </w:p>
    <w:p w:rsidR="00ED7F17" w:rsidRDefault="00ED7F17" w:rsidP="00ED7F17">
      <w:pPr>
        <w:widowControl w:val="0"/>
        <w:ind w:firstLine="510"/>
        <w:jc w:val="both"/>
      </w:pPr>
      <w:r>
        <w:rPr>
          <w:color w:val="000000"/>
          <w:kern w:val="2"/>
          <w:lang w:bidi="hi-IN"/>
        </w:rPr>
        <w:t>- ГБУЗ АО «Областной кардиологический диспансер»;</w:t>
      </w:r>
    </w:p>
    <w:p w:rsidR="00ED7F17" w:rsidRDefault="00ED7F17" w:rsidP="00ED7F17">
      <w:pPr>
        <w:widowControl w:val="0"/>
        <w:ind w:firstLine="510"/>
        <w:jc w:val="both"/>
        <w:textAlignment w:val="baseline"/>
      </w:pPr>
      <w:r>
        <w:rPr>
          <w:color w:val="000000"/>
          <w:kern w:val="2"/>
          <w:lang w:bidi="hi-IN"/>
        </w:rPr>
        <w:t>Медицинская реабилитация на 3 этапе в условиях дневного стационара проводится по следующим профилям:</w:t>
      </w:r>
    </w:p>
    <w:p w:rsidR="00ED7F17" w:rsidRDefault="00ED7F17" w:rsidP="00ED7F17">
      <w:pPr>
        <w:widowControl w:val="0"/>
        <w:ind w:firstLine="567"/>
        <w:jc w:val="both"/>
      </w:pPr>
      <w:r>
        <w:rPr>
          <w:rFonts w:eastAsia="SimSun"/>
          <w:bCs/>
          <w:color w:val="000000"/>
          <w:kern w:val="2"/>
          <w:lang w:bidi="hi-IN"/>
        </w:rPr>
        <w:t>- медицинская реабилитация с заболеваниями ЦНС (ООО «Медиал» -250, ГБУЗ АО «ГП №5» -474 случая);</w:t>
      </w:r>
    </w:p>
    <w:p w:rsidR="00ED7F17" w:rsidRDefault="00ED7F17" w:rsidP="00ED7F17">
      <w:pPr>
        <w:widowControl w:val="0"/>
        <w:ind w:firstLine="510"/>
        <w:jc w:val="both"/>
        <w:textAlignment w:val="baseline"/>
      </w:pPr>
      <w:r>
        <w:rPr>
          <w:bCs/>
          <w:color w:val="000000"/>
          <w:kern w:val="2"/>
          <w:lang w:bidi="hi-IN"/>
        </w:rPr>
        <w:t>- медицинская реабилитация пациентов с заболеваниями опорно-двигательного аппарата и периферической нервной системы (ООО «Медиал» -300 случаев, ГБУЗ АО «ГП №5» -174);</w:t>
      </w:r>
    </w:p>
    <w:p w:rsidR="00ED7F17" w:rsidRDefault="00ED7F17" w:rsidP="00ED7F17">
      <w:pPr>
        <w:widowControl w:val="0"/>
        <w:ind w:firstLine="567"/>
        <w:jc w:val="both"/>
      </w:pPr>
      <w:r>
        <w:rPr>
          <w:rFonts w:eastAsia="SimSun"/>
          <w:bCs/>
          <w:color w:val="000000"/>
          <w:kern w:val="2"/>
          <w:lang w:bidi="hi-IN"/>
        </w:rPr>
        <w:t>- медицинская кардиореабилитации (ГБУЗ АО «ОКД» - 735 случаев)</w:t>
      </w:r>
    </w:p>
    <w:p w:rsidR="00ED7F17" w:rsidRDefault="00ED7F17" w:rsidP="00ED7F17">
      <w:pPr>
        <w:widowControl w:val="0"/>
        <w:ind w:firstLine="510"/>
        <w:jc w:val="both"/>
        <w:textAlignment w:val="baseline"/>
      </w:pPr>
      <w:r>
        <w:rPr>
          <w:bCs/>
          <w:color w:val="000000"/>
          <w:kern w:val="2"/>
          <w:lang w:bidi="hi-IN"/>
        </w:rPr>
        <w:t>- медицинская реабилитация пациентов при других соматических заболеваниях (ГБУЗ АО «ОКД» - 8 случаев);</w:t>
      </w:r>
    </w:p>
    <w:p w:rsidR="00ED7F17" w:rsidRDefault="00ED7F17" w:rsidP="00ED7F17">
      <w:pPr>
        <w:widowControl w:val="0"/>
        <w:ind w:firstLine="680"/>
        <w:jc w:val="both"/>
      </w:pPr>
      <w:r>
        <w:rPr>
          <w:bCs/>
          <w:color w:val="000000"/>
          <w:kern w:val="2"/>
          <w:lang w:bidi="hi-IN"/>
        </w:rPr>
        <w:t>В рамках оказания первичной медико-санитарной помощи медицинская реабилитация осуществляется в выездной форме на дому ГБУЗ АО «Городская поликлиника №5».</w:t>
      </w:r>
    </w:p>
    <w:p w:rsidR="00ED7F17" w:rsidRDefault="00ED7F17" w:rsidP="00ED7F17">
      <w:pPr>
        <w:widowControl w:val="0"/>
        <w:ind w:firstLine="709"/>
        <w:jc w:val="both"/>
      </w:pPr>
      <w:r>
        <w:rPr>
          <w:rFonts w:eastAsia="Cambria"/>
          <w:color w:val="000000"/>
          <w:kern w:val="2"/>
          <w:lang w:bidi="hi-IN"/>
        </w:rPr>
        <w:t xml:space="preserve">Два учреждения работают на основе государственно-частного партнерства и осуществляют медицинскую деятельность на 2 этапе медицинской реабилитации: ЧУЗ «Медико-санитарная часть» и НУЗ Отделенческая больница на станции Астрахань 1 ОАО «РЖД». </w:t>
      </w:r>
    </w:p>
    <w:p w:rsidR="00ED7F17" w:rsidRDefault="00ED7F17" w:rsidP="00ED7F17">
      <w:pPr>
        <w:widowControl w:val="0"/>
        <w:ind w:firstLine="709"/>
        <w:jc w:val="both"/>
      </w:pPr>
      <w:r>
        <w:rPr>
          <w:rFonts w:eastAsia="Cambria"/>
          <w:color w:val="000000"/>
          <w:kern w:val="2"/>
          <w:lang w:bidi="hi-IN"/>
        </w:rPr>
        <w:t xml:space="preserve">В реализации программы медицинской реабилитации (2 этап) участвует учреждение федерального подчинения - ФБУ Центр реабилитации фонда социального страхования РФ «Тинаки». </w:t>
      </w:r>
    </w:p>
    <w:p w:rsidR="00ED7F17" w:rsidRDefault="00ED7F17" w:rsidP="00ED7F17">
      <w:pPr>
        <w:widowControl w:val="0"/>
        <w:ind w:firstLine="709"/>
        <w:jc w:val="both"/>
        <w:rPr>
          <w:rFonts w:eastAsia="Cambria"/>
          <w:color w:val="000000"/>
          <w:kern w:val="2"/>
          <w:lang w:bidi="hi-IN"/>
        </w:rPr>
      </w:pPr>
    </w:p>
    <w:tbl>
      <w:tblPr>
        <w:tblW w:w="0" w:type="auto"/>
        <w:tblInd w:w="-15" w:type="dxa"/>
        <w:tblLayout w:type="fixed"/>
        <w:tblCellMar>
          <w:left w:w="103" w:type="dxa"/>
        </w:tblCellMar>
        <w:tblLook w:val="04A0" w:firstRow="1" w:lastRow="0" w:firstColumn="1" w:lastColumn="0" w:noHBand="0" w:noVBand="1"/>
      </w:tblPr>
      <w:tblGrid>
        <w:gridCol w:w="1082"/>
        <w:gridCol w:w="5450"/>
        <w:gridCol w:w="3063"/>
      </w:tblGrid>
      <w:tr w:rsidR="00ED7F17" w:rsidTr="00ED7F17">
        <w:trPr>
          <w:trHeight w:val="300"/>
        </w:trPr>
        <w:tc>
          <w:tcPr>
            <w:tcW w:w="1082" w:type="dxa"/>
            <w:tcBorders>
              <w:top w:val="single" w:sz="4" w:space="0" w:color="000001"/>
              <w:left w:val="single" w:sz="4" w:space="0" w:color="000001"/>
              <w:bottom w:val="single" w:sz="4" w:space="0" w:color="000001"/>
              <w:right w:val="nil"/>
            </w:tcBorders>
            <w:shd w:val="clear" w:color="auto" w:fill="FFFFFF"/>
            <w:hideMark/>
          </w:tcPr>
          <w:p w:rsidR="00ED7F17" w:rsidRDefault="00ED7F17">
            <w:pPr>
              <w:widowControl w:val="0"/>
              <w:rPr>
                <w:rFonts w:ascii="Arial" w:eastAsia="Arial" w:hAnsi="Arial" w:cs="Arial"/>
                <w:sz w:val="22"/>
                <w:szCs w:val="22"/>
              </w:rPr>
            </w:pPr>
            <w:r>
              <w:rPr>
                <w:color w:val="000000"/>
                <w:kern w:val="2"/>
                <w:lang w:eastAsia="ru-RU" w:bidi="hi-IN"/>
              </w:rPr>
              <w:t>№ п/п</w:t>
            </w:r>
          </w:p>
        </w:tc>
        <w:tc>
          <w:tcPr>
            <w:tcW w:w="5450" w:type="dxa"/>
            <w:tcBorders>
              <w:top w:val="single" w:sz="4" w:space="0" w:color="000001"/>
              <w:left w:val="single" w:sz="4" w:space="0" w:color="000001"/>
              <w:bottom w:val="single" w:sz="4" w:space="0" w:color="000001"/>
              <w:right w:val="nil"/>
            </w:tcBorders>
            <w:shd w:val="clear" w:color="auto" w:fill="FFFFFF"/>
            <w:hideMark/>
          </w:tcPr>
          <w:p w:rsidR="00ED7F17" w:rsidRDefault="00ED7F17">
            <w:pPr>
              <w:widowControl w:val="0"/>
              <w:rPr>
                <w:rFonts w:ascii="Arial" w:eastAsia="Arial" w:hAnsi="Arial" w:cs="Arial"/>
                <w:sz w:val="22"/>
                <w:szCs w:val="22"/>
              </w:rPr>
            </w:pPr>
            <w:r>
              <w:rPr>
                <w:color w:val="000000"/>
                <w:kern w:val="2"/>
                <w:lang w:eastAsia="ru-RU" w:bidi="hi-IN"/>
              </w:rPr>
              <w:t>Показатель</w:t>
            </w:r>
          </w:p>
        </w:tc>
        <w:tc>
          <w:tcPr>
            <w:tcW w:w="3063" w:type="dxa"/>
            <w:tcBorders>
              <w:top w:val="single" w:sz="4" w:space="0" w:color="000001"/>
              <w:left w:val="single" w:sz="4" w:space="0" w:color="000001"/>
              <w:bottom w:val="single" w:sz="4" w:space="0" w:color="000001"/>
              <w:right w:val="single" w:sz="4" w:space="0" w:color="000001"/>
            </w:tcBorders>
            <w:shd w:val="clear" w:color="auto" w:fill="FFFFFF"/>
            <w:vAlign w:val="bottom"/>
            <w:hideMark/>
          </w:tcPr>
          <w:p w:rsidR="00ED7F17" w:rsidRDefault="00ED7F17">
            <w:pPr>
              <w:widowControl w:val="0"/>
              <w:jc w:val="center"/>
              <w:rPr>
                <w:rFonts w:ascii="Arial" w:eastAsia="Arial" w:hAnsi="Arial" w:cs="Arial"/>
                <w:sz w:val="22"/>
                <w:szCs w:val="22"/>
              </w:rPr>
            </w:pPr>
            <w:r>
              <w:rPr>
                <w:color w:val="000000"/>
                <w:kern w:val="2"/>
                <w:lang w:eastAsia="ru-RU" w:bidi="hi-IN"/>
              </w:rPr>
              <w:t>Всего для взрослых</w:t>
            </w:r>
          </w:p>
        </w:tc>
      </w:tr>
      <w:tr w:rsidR="00ED7F17" w:rsidTr="00ED7F17">
        <w:trPr>
          <w:trHeight w:val="647"/>
        </w:trPr>
        <w:tc>
          <w:tcPr>
            <w:tcW w:w="1082" w:type="dxa"/>
            <w:tcBorders>
              <w:top w:val="single" w:sz="4" w:space="0" w:color="000001"/>
              <w:left w:val="single" w:sz="4" w:space="0" w:color="000001"/>
              <w:bottom w:val="single" w:sz="4" w:space="0" w:color="000001"/>
              <w:right w:val="nil"/>
            </w:tcBorders>
            <w:shd w:val="clear" w:color="auto" w:fill="FFFFFF"/>
            <w:hideMark/>
          </w:tcPr>
          <w:p w:rsidR="00ED7F17" w:rsidRDefault="00ED7F17">
            <w:pPr>
              <w:widowControl w:val="0"/>
              <w:rPr>
                <w:rFonts w:ascii="Arial" w:eastAsia="Arial" w:hAnsi="Arial" w:cs="Arial"/>
                <w:sz w:val="22"/>
                <w:szCs w:val="22"/>
              </w:rPr>
            </w:pPr>
            <w:r>
              <w:rPr>
                <w:color w:val="000000"/>
                <w:kern w:val="2"/>
                <w:lang w:eastAsia="ru-RU" w:bidi="hi-IN"/>
              </w:rPr>
              <w:t>1.</w:t>
            </w:r>
          </w:p>
        </w:tc>
        <w:tc>
          <w:tcPr>
            <w:tcW w:w="5450" w:type="dxa"/>
            <w:tcBorders>
              <w:top w:val="single" w:sz="4" w:space="0" w:color="000001"/>
              <w:left w:val="single" w:sz="4" w:space="0" w:color="000001"/>
              <w:bottom w:val="single" w:sz="4" w:space="0" w:color="000001"/>
              <w:right w:val="nil"/>
            </w:tcBorders>
            <w:shd w:val="clear" w:color="auto" w:fill="FFFFFF"/>
            <w:hideMark/>
          </w:tcPr>
          <w:p w:rsidR="00ED7F17" w:rsidRDefault="00ED7F17">
            <w:pPr>
              <w:widowControl w:val="0"/>
              <w:rPr>
                <w:rFonts w:ascii="Arial" w:eastAsia="Arial" w:hAnsi="Arial" w:cs="Arial"/>
                <w:sz w:val="22"/>
                <w:szCs w:val="22"/>
              </w:rPr>
            </w:pPr>
            <w:r>
              <w:rPr>
                <w:color w:val="000000"/>
                <w:kern w:val="2"/>
                <w:lang w:eastAsia="ru-RU" w:bidi="hi-IN"/>
              </w:rPr>
              <w:t>Количество коек по профилю медицинская реабилитация</w:t>
            </w:r>
          </w:p>
        </w:tc>
        <w:tc>
          <w:tcPr>
            <w:tcW w:w="3063" w:type="dxa"/>
            <w:tcBorders>
              <w:top w:val="single" w:sz="4" w:space="0" w:color="000001"/>
              <w:left w:val="single" w:sz="4" w:space="0" w:color="000001"/>
              <w:bottom w:val="single" w:sz="4" w:space="0" w:color="000001"/>
              <w:right w:val="single" w:sz="4" w:space="0" w:color="000001"/>
            </w:tcBorders>
            <w:shd w:val="clear" w:color="auto" w:fill="FFFFFF"/>
            <w:vAlign w:val="bottom"/>
            <w:hideMark/>
          </w:tcPr>
          <w:p w:rsidR="00ED7F17" w:rsidRDefault="00ED7F17">
            <w:pPr>
              <w:widowControl w:val="0"/>
              <w:jc w:val="center"/>
              <w:rPr>
                <w:rFonts w:ascii="Arial" w:eastAsia="Arial" w:hAnsi="Arial" w:cs="Arial"/>
                <w:sz w:val="22"/>
                <w:szCs w:val="22"/>
              </w:rPr>
            </w:pPr>
            <w:r>
              <w:rPr>
                <w:color w:val="000000"/>
                <w:kern w:val="2"/>
                <w:lang w:eastAsia="ru-RU" w:bidi="hi-IN"/>
              </w:rPr>
              <w:t>152 (в том числе 51 койка дневного стационара)</w:t>
            </w:r>
          </w:p>
        </w:tc>
      </w:tr>
      <w:tr w:rsidR="00ED7F17" w:rsidTr="00ED7F17">
        <w:trPr>
          <w:trHeight w:val="575"/>
        </w:trPr>
        <w:tc>
          <w:tcPr>
            <w:tcW w:w="1082" w:type="dxa"/>
            <w:tcBorders>
              <w:top w:val="single" w:sz="4" w:space="0" w:color="000001"/>
              <w:left w:val="single" w:sz="4" w:space="0" w:color="000001"/>
              <w:bottom w:val="single" w:sz="4" w:space="0" w:color="000001"/>
              <w:right w:val="nil"/>
            </w:tcBorders>
            <w:shd w:val="clear" w:color="auto" w:fill="FFFFFF"/>
            <w:hideMark/>
          </w:tcPr>
          <w:p w:rsidR="00ED7F17" w:rsidRDefault="00ED7F17">
            <w:pPr>
              <w:widowControl w:val="0"/>
              <w:rPr>
                <w:rFonts w:ascii="Arial" w:eastAsia="Arial" w:hAnsi="Arial" w:cs="Arial"/>
                <w:sz w:val="22"/>
                <w:szCs w:val="22"/>
              </w:rPr>
            </w:pPr>
            <w:r>
              <w:rPr>
                <w:color w:val="000000"/>
                <w:kern w:val="2"/>
                <w:lang w:eastAsia="ru-RU" w:bidi="hi-IN"/>
              </w:rPr>
              <w:t>2.</w:t>
            </w:r>
          </w:p>
        </w:tc>
        <w:tc>
          <w:tcPr>
            <w:tcW w:w="5450" w:type="dxa"/>
            <w:tcBorders>
              <w:top w:val="single" w:sz="4" w:space="0" w:color="000001"/>
              <w:left w:val="single" w:sz="4" w:space="0" w:color="000001"/>
              <w:bottom w:val="single" w:sz="4" w:space="0" w:color="000001"/>
              <w:right w:val="nil"/>
            </w:tcBorders>
            <w:shd w:val="clear" w:color="auto" w:fill="FFFFFF"/>
            <w:hideMark/>
          </w:tcPr>
          <w:p w:rsidR="00ED7F17" w:rsidRDefault="00ED7F17">
            <w:pPr>
              <w:widowControl w:val="0"/>
              <w:rPr>
                <w:rFonts w:ascii="Arial" w:eastAsia="Arial" w:hAnsi="Arial" w:cs="Arial"/>
                <w:sz w:val="22"/>
                <w:szCs w:val="22"/>
              </w:rPr>
            </w:pPr>
            <w:r>
              <w:rPr>
                <w:color w:val="000000"/>
                <w:kern w:val="2"/>
                <w:lang w:eastAsia="ru-RU" w:bidi="hi-IN"/>
              </w:rPr>
              <w:t>Общая среднегодовая занятость койки по профилю медицинская реабилитация</w:t>
            </w:r>
          </w:p>
        </w:tc>
        <w:tc>
          <w:tcPr>
            <w:tcW w:w="3063" w:type="dxa"/>
            <w:tcBorders>
              <w:top w:val="single" w:sz="4" w:space="0" w:color="000001"/>
              <w:left w:val="single" w:sz="4" w:space="0" w:color="000001"/>
              <w:bottom w:val="single" w:sz="4" w:space="0" w:color="000001"/>
              <w:right w:val="single" w:sz="4" w:space="0" w:color="000001"/>
            </w:tcBorders>
            <w:shd w:val="clear" w:color="auto" w:fill="FFFFFF"/>
            <w:vAlign w:val="bottom"/>
            <w:hideMark/>
          </w:tcPr>
          <w:p w:rsidR="00ED7F17" w:rsidRDefault="00ED7F17">
            <w:pPr>
              <w:widowControl w:val="0"/>
              <w:jc w:val="center"/>
              <w:rPr>
                <w:rFonts w:ascii="Arial" w:eastAsia="Arial" w:hAnsi="Arial" w:cs="Arial"/>
                <w:sz w:val="22"/>
                <w:szCs w:val="22"/>
              </w:rPr>
            </w:pPr>
            <w:r>
              <w:rPr>
                <w:color w:val="000000"/>
                <w:kern w:val="2"/>
                <w:lang w:eastAsia="ru-RU" w:bidi="hi-IN"/>
              </w:rPr>
              <w:t>324,5</w:t>
            </w:r>
          </w:p>
        </w:tc>
      </w:tr>
      <w:tr w:rsidR="00ED7F17" w:rsidTr="00ED7F17">
        <w:trPr>
          <w:trHeight w:val="300"/>
        </w:trPr>
        <w:tc>
          <w:tcPr>
            <w:tcW w:w="1082" w:type="dxa"/>
            <w:tcBorders>
              <w:top w:val="single" w:sz="4" w:space="0" w:color="000001"/>
              <w:left w:val="single" w:sz="4" w:space="0" w:color="000001"/>
              <w:bottom w:val="single" w:sz="4" w:space="0" w:color="000001"/>
              <w:right w:val="nil"/>
            </w:tcBorders>
            <w:shd w:val="clear" w:color="auto" w:fill="FFFFFF"/>
            <w:hideMark/>
          </w:tcPr>
          <w:p w:rsidR="00ED7F17" w:rsidRDefault="00ED7F17">
            <w:pPr>
              <w:widowControl w:val="0"/>
              <w:rPr>
                <w:rFonts w:ascii="Arial" w:eastAsia="Arial" w:hAnsi="Arial" w:cs="Arial"/>
                <w:sz w:val="22"/>
                <w:szCs w:val="22"/>
              </w:rPr>
            </w:pPr>
            <w:r>
              <w:rPr>
                <w:color w:val="000000"/>
                <w:kern w:val="2"/>
                <w:lang w:eastAsia="ru-RU" w:bidi="hi-IN"/>
              </w:rPr>
              <w:t>3.</w:t>
            </w:r>
          </w:p>
        </w:tc>
        <w:tc>
          <w:tcPr>
            <w:tcW w:w="5450" w:type="dxa"/>
            <w:tcBorders>
              <w:top w:val="single" w:sz="4" w:space="0" w:color="000001"/>
              <w:left w:val="single" w:sz="4" w:space="0" w:color="000001"/>
              <w:bottom w:val="single" w:sz="4" w:space="0" w:color="000001"/>
              <w:right w:val="nil"/>
            </w:tcBorders>
            <w:shd w:val="clear" w:color="auto" w:fill="FFFFFF"/>
            <w:hideMark/>
          </w:tcPr>
          <w:p w:rsidR="00ED7F17" w:rsidRDefault="00ED7F17">
            <w:pPr>
              <w:widowControl w:val="0"/>
              <w:rPr>
                <w:rFonts w:ascii="Arial" w:eastAsia="Arial" w:hAnsi="Arial" w:cs="Arial"/>
                <w:sz w:val="22"/>
                <w:szCs w:val="22"/>
              </w:rPr>
            </w:pPr>
            <w:r>
              <w:rPr>
                <w:color w:val="000000"/>
                <w:kern w:val="2"/>
                <w:lang w:eastAsia="ru-RU" w:bidi="hi-IN"/>
              </w:rPr>
              <w:t>Оборот койки</w:t>
            </w:r>
          </w:p>
        </w:tc>
        <w:tc>
          <w:tcPr>
            <w:tcW w:w="3063" w:type="dxa"/>
            <w:tcBorders>
              <w:top w:val="single" w:sz="4" w:space="0" w:color="000001"/>
              <w:left w:val="single" w:sz="4" w:space="0" w:color="000001"/>
              <w:bottom w:val="single" w:sz="4" w:space="0" w:color="000001"/>
              <w:right w:val="single" w:sz="4" w:space="0" w:color="000001"/>
            </w:tcBorders>
            <w:shd w:val="clear" w:color="auto" w:fill="FFFFFF"/>
            <w:vAlign w:val="bottom"/>
            <w:hideMark/>
          </w:tcPr>
          <w:p w:rsidR="00ED7F17" w:rsidRDefault="00ED7F17">
            <w:pPr>
              <w:widowControl w:val="0"/>
              <w:jc w:val="center"/>
              <w:rPr>
                <w:rFonts w:ascii="Arial" w:eastAsia="Arial" w:hAnsi="Arial" w:cs="Arial"/>
                <w:sz w:val="22"/>
                <w:szCs w:val="22"/>
              </w:rPr>
            </w:pPr>
            <w:r>
              <w:rPr>
                <w:color w:val="000000"/>
                <w:kern w:val="2"/>
                <w:lang w:eastAsia="ru-RU" w:bidi="hi-IN"/>
              </w:rPr>
              <w:t>25,6</w:t>
            </w:r>
          </w:p>
        </w:tc>
      </w:tr>
      <w:tr w:rsidR="00ED7F17" w:rsidTr="00ED7F17">
        <w:trPr>
          <w:trHeight w:val="341"/>
        </w:trPr>
        <w:tc>
          <w:tcPr>
            <w:tcW w:w="1082" w:type="dxa"/>
            <w:tcBorders>
              <w:top w:val="single" w:sz="4" w:space="0" w:color="000001"/>
              <w:left w:val="single" w:sz="4" w:space="0" w:color="000001"/>
              <w:bottom w:val="single" w:sz="4" w:space="0" w:color="000001"/>
              <w:right w:val="nil"/>
            </w:tcBorders>
            <w:shd w:val="clear" w:color="auto" w:fill="FFFFFF"/>
            <w:hideMark/>
          </w:tcPr>
          <w:p w:rsidR="00ED7F17" w:rsidRDefault="00ED7F17">
            <w:pPr>
              <w:widowControl w:val="0"/>
              <w:rPr>
                <w:rFonts w:ascii="Arial" w:eastAsia="Arial" w:hAnsi="Arial" w:cs="Arial"/>
                <w:sz w:val="22"/>
                <w:szCs w:val="22"/>
              </w:rPr>
            </w:pPr>
            <w:r>
              <w:rPr>
                <w:color w:val="000000"/>
                <w:kern w:val="2"/>
                <w:lang w:eastAsia="ru-RU" w:bidi="hi-IN"/>
              </w:rPr>
              <w:t>4.</w:t>
            </w:r>
          </w:p>
        </w:tc>
        <w:tc>
          <w:tcPr>
            <w:tcW w:w="5450" w:type="dxa"/>
            <w:tcBorders>
              <w:top w:val="single" w:sz="4" w:space="0" w:color="000001"/>
              <w:left w:val="single" w:sz="4" w:space="0" w:color="000001"/>
              <w:bottom w:val="single" w:sz="4" w:space="0" w:color="000001"/>
              <w:right w:val="nil"/>
            </w:tcBorders>
            <w:shd w:val="clear" w:color="auto" w:fill="FFFFFF"/>
            <w:hideMark/>
          </w:tcPr>
          <w:p w:rsidR="00ED7F17" w:rsidRDefault="00ED7F17">
            <w:pPr>
              <w:widowControl w:val="0"/>
              <w:rPr>
                <w:rFonts w:ascii="Arial" w:eastAsia="Arial" w:hAnsi="Arial" w:cs="Arial"/>
                <w:sz w:val="22"/>
                <w:szCs w:val="22"/>
              </w:rPr>
            </w:pPr>
            <w:r>
              <w:rPr>
                <w:color w:val="000000"/>
                <w:kern w:val="2"/>
                <w:lang w:eastAsia="ru-RU" w:bidi="hi-IN"/>
              </w:rPr>
              <w:t>Средняя продолжительность пребывания больного на койке по профилю медицинская реабилитация</w:t>
            </w:r>
          </w:p>
        </w:tc>
        <w:tc>
          <w:tcPr>
            <w:tcW w:w="3063" w:type="dxa"/>
            <w:tcBorders>
              <w:top w:val="single" w:sz="4" w:space="0" w:color="000001"/>
              <w:left w:val="single" w:sz="4" w:space="0" w:color="000001"/>
              <w:bottom w:val="single" w:sz="4" w:space="0" w:color="000001"/>
              <w:right w:val="single" w:sz="4" w:space="0" w:color="000001"/>
            </w:tcBorders>
            <w:shd w:val="clear" w:color="auto" w:fill="FFFFFF"/>
            <w:vAlign w:val="bottom"/>
            <w:hideMark/>
          </w:tcPr>
          <w:p w:rsidR="00ED7F17" w:rsidRDefault="00ED7F17">
            <w:pPr>
              <w:widowControl w:val="0"/>
              <w:jc w:val="center"/>
              <w:rPr>
                <w:rFonts w:ascii="Arial" w:eastAsia="Arial" w:hAnsi="Arial" w:cs="Arial"/>
                <w:sz w:val="22"/>
                <w:szCs w:val="22"/>
              </w:rPr>
            </w:pPr>
            <w:r>
              <w:rPr>
                <w:color w:val="000000"/>
                <w:kern w:val="2"/>
                <w:lang w:eastAsia="ru-RU" w:bidi="hi-IN"/>
              </w:rPr>
              <w:t>12,7</w:t>
            </w:r>
          </w:p>
        </w:tc>
      </w:tr>
      <w:tr w:rsidR="00ED7F17" w:rsidTr="00ED7F17">
        <w:trPr>
          <w:trHeight w:val="649"/>
        </w:trPr>
        <w:tc>
          <w:tcPr>
            <w:tcW w:w="1082" w:type="dxa"/>
            <w:tcBorders>
              <w:top w:val="single" w:sz="4" w:space="0" w:color="000001"/>
              <w:left w:val="single" w:sz="4" w:space="0" w:color="000001"/>
              <w:bottom w:val="single" w:sz="4" w:space="0" w:color="000001"/>
              <w:right w:val="nil"/>
            </w:tcBorders>
            <w:shd w:val="clear" w:color="auto" w:fill="FFFFFF"/>
            <w:hideMark/>
          </w:tcPr>
          <w:p w:rsidR="00ED7F17" w:rsidRDefault="00ED7F17">
            <w:pPr>
              <w:widowControl w:val="0"/>
              <w:rPr>
                <w:rFonts w:ascii="Arial" w:eastAsia="Arial" w:hAnsi="Arial" w:cs="Arial"/>
                <w:sz w:val="22"/>
                <w:szCs w:val="22"/>
              </w:rPr>
            </w:pPr>
            <w:r>
              <w:rPr>
                <w:color w:val="000000"/>
                <w:kern w:val="2"/>
                <w:lang w:eastAsia="ru-RU" w:bidi="hi-IN"/>
              </w:rPr>
              <w:t>5.</w:t>
            </w:r>
          </w:p>
        </w:tc>
        <w:tc>
          <w:tcPr>
            <w:tcW w:w="5450" w:type="dxa"/>
            <w:tcBorders>
              <w:top w:val="single" w:sz="4" w:space="0" w:color="000001"/>
              <w:left w:val="single" w:sz="4" w:space="0" w:color="000001"/>
              <w:bottom w:val="single" w:sz="4" w:space="0" w:color="000001"/>
              <w:right w:val="nil"/>
            </w:tcBorders>
            <w:shd w:val="clear" w:color="auto" w:fill="FFFFFF"/>
            <w:hideMark/>
          </w:tcPr>
          <w:p w:rsidR="00ED7F17" w:rsidRDefault="00ED7F17">
            <w:pPr>
              <w:widowControl w:val="0"/>
              <w:rPr>
                <w:rFonts w:ascii="Arial" w:eastAsia="Arial" w:hAnsi="Arial" w:cs="Arial"/>
                <w:sz w:val="22"/>
                <w:szCs w:val="22"/>
              </w:rPr>
            </w:pPr>
            <w:r>
              <w:rPr>
                <w:color w:val="000000"/>
                <w:kern w:val="2"/>
                <w:lang w:eastAsia="ru-RU" w:bidi="hi-IN"/>
              </w:rPr>
              <w:t>Степень использования коечного фонда по профилю медицинская реабилитация</w:t>
            </w:r>
          </w:p>
        </w:tc>
        <w:tc>
          <w:tcPr>
            <w:tcW w:w="3063" w:type="dxa"/>
            <w:tcBorders>
              <w:top w:val="single" w:sz="4" w:space="0" w:color="000001"/>
              <w:left w:val="single" w:sz="4" w:space="0" w:color="000001"/>
              <w:bottom w:val="single" w:sz="4" w:space="0" w:color="000001"/>
              <w:right w:val="single" w:sz="4" w:space="0" w:color="000001"/>
            </w:tcBorders>
            <w:shd w:val="clear" w:color="auto" w:fill="FFFFFF"/>
            <w:vAlign w:val="bottom"/>
            <w:hideMark/>
          </w:tcPr>
          <w:p w:rsidR="00ED7F17" w:rsidRDefault="00ED7F17">
            <w:pPr>
              <w:widowControl w:val="0"/>
              <w:jc w:val="center"/>
              <w:rPr>
                <w:rFonts w:ascii="Arial" w:eastAsia="Arial" w:hAnsi="Arial" w:cs="Arial"/>
                <w:sz w:val="22"/>
                <w:szCs w:val="22"/>
              </w:rPr>
            </w:pPr>
            <w:r>
              <w:rPr>
                <w:color w:val="000000"/>
                <w:kern w:val="2"/>
                <w:lang w:eastAsia="ru-RU" w:bidi="hi-IN"/>
              </w:rPr>
              <w:t>95,4</w:t>
            </w:r>
          </w:p>
        </w:tc>
      </w:tr>
      <w:tr w:rsidR="00ED7F17" w:rsidTr="00ED7F17">
        <w:trPr>
          <w:trHeight w:val="600"/>
        </w:trPr>
        <w:tc>
          <w:tcPr>
            <w:tcW w:w="1082" w:type="dxa"/>
            <w:tcBorders>
              <w:top w:val="single" w:sz="4" w:space="0" w:color="000001"/>
              <w:left w:val="single" w:sz="4" w:space="0" w:color="000001"/>
              <w:bottom w:val="single" w:sz="4" w:space="0" w:color="000001"/>
              <w:right w:val="nil"/>
            </w:tcBorders>
            <w:shd w:val="clear" w:color="auto" w:fill="FFFFFF"/>
            <w:hideMark/>
          </w:tcPr>
          <w:p w:rsidR="00ED7F17" w:rsidRDefault="00ED7F17">
            <w:pPr>
              <w:widowControl w:val="0"/>
              <w:rPr>
                <w:rFonts w:ascii="Arial" w:eastAsia="Arial" w:hAnsi="Arial" w:cs="Arial"/>
                <w:sz w:val="22"/>
                <w:szCs w:val="22"/>
              </w:rPr>
            </w:pPr>
            <w:r>
              <w:rPr>
                <w:color w:val="000000"/>
                <w:kern w:val="2"/>
                <w:lang w:eastAsia="ru-RU" w:bidi="hi-IN"/>
              </w:rPr>
              <w:t>6.</w:t>
            </w:r>
          </w:p>
        </w:tc>
        <w:tc>
          <w:tcPr>
            <w:tcW w:w="5450" w:type="dxa"/>
            <w:tcBorders>
              <w:top w:val="single" w:sz="4" w:space="0" w:color="000001"/>
              <w:left w:val="single" w:sz="4" w:space="0" w:color="000001"/>
              <w:bottom w:val="single" w:sz="4" w:space="0" w:color="000001"/>
              <w:right w:val="nil"/>
            </w:tcBorders>
            <w:shd w:val="clear" w:color="auto" w:fill="FFFFFF"/>
            <w:hideMark/>
          </w:tcPr>
          <w:p w:rsidR="00ED7F17" w:rsidRDefault="00ED7F17">
            <w:pPr>
              <w:widowControl w:val="0"/>
              <w:rPr>
                <w:rFonts w:ascii="Arial" w:eastAsia="Arial" w:hAnsi="Arial" w:cs="Arial"/>
                <w:sz w:val="22"/>
                <w:szCs w:val="22"/>
              </w:rPr>
            </w:pPr>
            <w:r>
              <w:rPr>
                <w:color w:val="000000"/>
                <w:kern w:val="2"/>
                <w:lang w:eastAsia="ru-RU" w:bidi="hi-IN"/>
              </w:rPr>
              <w:t>Среднегодовое число коек в стационаре</w:t>
            </w:r>
          </w:p>
        </w:tc>
        <w:tc>
          <w:tcPr>
            <w:tcW w:w="3063" w:type="dxa"/>
            <w:tcBorders>
              <w:top w:val="single" w:sz="4" w:space="0" w:color="000001"/>
              <w:left w:val="single" w:sz="4" w:space="0" w:color="000001"/>
              <w:bottom w:val="single" w:sz="4" w:space="0" w:color="000001"/>
              <w:right w:val="single" w:sz="4" w:space="0" w:color="000001"/>
            </w:tcBorders>
            <w:shd w:val="clear" w:color="auto" w:fill="FFFFFF"/>
            <w:vAlign w:val="bottom"/>
            <w:hideMark/>
          </w:tcPr>
          <w:p w:rsidR="00ED7F17" w:rsidRDefault="00ED7F17">
            <w:pPr>
              <w:widowControl w:val="0"/>
              <w:jc w:val="center"/>
              <w:rPr>
                <w:rFonts w:ascii="Arial" w:eastAsia="Arial" w:hAnsi="Arial" w:cs="Arial"/>
                <w:sz w:val="22"/>
                <w:szCs w:val="22"/>
              </w:rPr>
            </w:pPr>
            <w:r>
              <w:rPr>
                <w:color w:val="000000"/>
                <w:kern w:val="2"/>
                <w:lang w:eastAsia="ru-RU" w:bidi="hi-IN"/>
              </w:rPr>
              <w:t>27</w:t>
            </w:r>
          </w:p>
        </w:tc>
      </w:tr>
    </w:tbl>
    <w:p w:rsidR="00ED7F17" w:rsidRDefault="00ED7F17" w:rsidP="00ED7F17">
      <w:pPr>
        <w:widowControl w:val="0"/>
        <w:ind w:firstLine="709"/>
        <w:jc w:val="both"/>
        <w:rPr>
          <w:rFonts w:eastAsia="Cambria"/>
          <w:color w:val="000000"/>
          <w:kern w:val="2"/>
          <w:lang w:bidi="hi-IN"/>
        </w:rPr>
      </w:pPr>
    </w:p>
    <w:p w:rsidR="00ED7F17" w:rsidRDefault="00ED7F17" w:rsidP="00ED7F17">
      <w:pPr>
        <w:widowControl w:val="0"/>
        <w:ind w:firstLine="709"/>
        <w:jc w:val="both"/>
        <w:rPr>
          <w:rFonts w:ascii="Arial" w:eastAsia="Arial" w:hAnsi="Arial" w:cs="Arial"/>
          <w:sz w:val="22"/>
          <w:szCs w:val="22"/>
        </w:rPr>
      </w:pPr>
      <w:r>
        <w:rPr>
          <w:rFonts w:eastAsia="Cambria"/>
          <w:color w:val="000000"/>
          <w:kern w:val="2"/>
          <w:lang w:bidi="hi-IN"/>
        </w:rPr>
        <w:t>В рамках ОМС на 2019 предусмотрено 129 коек круглосуточного стационара и 61 койка дневного стационара.</w:t>
      </w:r>
    </w:p>
    <w:p w:rsidR="00ED7F17" w:rsidRDefault="00ED7F17" w:rsidP="00ED7F17">
      <w:pPr>
        <w:widowControl w:val="0"/>
        <w:ind w:firstLine="709"/>
        <w:jc w:val="both"/>
      </w:pPr>
      <w:r>
        <w:rPr>
          <w:rFonts w:eastAsia="Cambria"/>
          <w:color w:val="000000"/>
          <w:kern w:val="2"/>
          <w:lang w:bidi="hi-IN"/>
        </w:rPr>
        <w:t xml:space="preserve">Оснащение и штаты построены в соответствии с </w:t>
      </w:r>
      <w:r>
        <w:rPr>
          <w:rFonts w:eastAsia="Cambria"/>
          <w:bCs/>
          <w:color w:val="000000"/>
          <w:kern w:val="2"/>
          <w:lang w:bidi="hi-IN"/>
        </w:rPr>
        <w:t>приказом Министерства здравоохранения РФ от 29 декабря 2012 №1705н «О Порядке организации медицинской реабилитации».</w:t>
      </w:r>
      <w:r>
        <w:rPr>
          <w:rFonts w:eastAsia="Cambria"/>
          <w:color w:val="000000"/>
          <w:kern w:val="2"/>
          <w:lang w:bidi="hi-IN"/>
        </w:rPr>
        <w:t xml:space="preserve"> </w:t>
      </w:r>
      <w:r>
        <w:rPr>
          <w:rFonts w:eastAsia="Cambria"/>
          <w:bCs/>
          <w:color w:val="000000"/>
          <w:kern w:val="2"/>
          <w:lang w:bidi="hi-IN"/>
        </w:rPr>
        <w:t>Все медицинские учреждения Астраханской области, осуществляющие данный вид деятельности имеют лицензию на медицинскую деятельность, включая работы (услуги) по медицинской реабилитации.</w:t>
      </w:r>
    </w:p>
    <w:p w:rsidR="00ED7F17" w:rsidRDefault="00ED7F17" w:rsidP="00ED7F17">
      <w:pPr>
        <w:widowControl w:val="0"/>
        <w:ind w:firstLine="680"/>
        <w:jc w:val="both"/>
      </w:pPr>
      <w:r>
        <w:rPr>
          <w:color w:val="000000"/>
          <w:spacing w:val="2"/>
          <w:kern w:val="2"/>
          <w:lang w:bidi="hi-IN"/>
        </w:rPr>
        <w:t>Порядок направления на реабилитацию регламентирован распоряжением министерства от 18.03.2016 №479р «Об оказании медицинской реабилитации населению Астраханской области», согласно которому медицинский отбор больных, направляемых на реабилитацию в медицинскую организацию, осуществляется врачебной комиссией соответствующей медицинской организаций.</w:t>
      </w:r>
    </w:p>
    <w:p w:rsidR="00ED7F17" w:rsidRDefault="00ED7F17" w:rsidP="00ED7F17">
      <w:pPr>
        <w:widowControl w:val="0"/>
        <w:ind w:firstLine="680"/>
        <w:jc w:val="both"/>
      </w:pPr>
      <w:r>
        <w:rPr>
          <w:color w:val="000000"/>
          <w:spacing w:val="2"/>
          <w:kern w:val="2"/>
          <w:lang w:bidi="hi-IN"/>
        </w:rPr>
        <w:t>В связи с вступлением в силу приказа Минтруда России от 03.09.2018 № 572 н «Об утверждении профессионального стандарта «Специалист по медицинской реабилитации» запланировано обучение работающих врачей по программе профессиональной переподготовки по специальности «Физическая и реабилитационная медицина». Обучение врачей начнется с сентября 2019 г. на базе ВУЗов, профессорско-преподавательский состав которых прошел профессиональную переподготовку.</w:t>
      </w:r>
      <w:r>
        <w:rPr>
          <w:bCs/>
          <w:color w:val="000000"/>
          <w:kern w:val="2"/>
          <w:lang w:bidi="hi-IN"/>
        </w:rPr>
        <w:t xml:space="preserve"> Бесплатное обучение пройдут специалисты четырех государственных медицинских организации. </w:t>
      </w:r>
    </w:p>
    <w:p w:rsidR="00ED7F17" w:rsidRDefault="00ED7F17" w:rsidP="00ED7F17">
      <w:pPr>
        <w:widowControl w:val="0"/>
      </w:pPr>
      <w:r>
        <w:rPr>
          <w:color w:val="000000"/>
          <w:kern w:val="2"/>
          <w:lang w:bidi="hi-IN"/>
        </w:rPr>
        <w:t>1. ГБУЗ АО «Городская клиническая больница №3 им. С.М.Кирова»,</w:t>
      </w:r>
    </w:p>
    <w:p w:rsidR="00ED7F17" w:rsidRDefault="00ED7F17" w:rsidP="00ED7F17">
      <w:pPr>
        <w:widowControl w:val="0"/>
      </w:pPr>
      <w:r>
        <w:rPr>
          <w:color w:val="000000"/>
          <w:kern w:val="2"/>
          <w:lang w:bidi="hi-IN"/>
        </w:rPr>
        <w:t>2. ГБУЗ АО «Городская поликлиника №5»,</w:t>
      </w:r>
    </w:p>
    <w:p w:rsidR="00ED7F17" w:rsidRDefault="00ED7F17" w:rsidP="00ED7F17">
      <w:pPr>
        <w:widowControl w:val="0"/>
      </w:pPr>
      <w:r>
        <w:rPr>
          <w:color w:val="000000"/>
          <w:kern w:val="2"/>
          <w:lang w:bidi="hi-IN"/>
        </w:rPr>
        <w:t>3. ГБУЗ АО «Областной кардиологический диспансер»,</w:t>
      </w:r>
    </w:p>
    <w:p w:rsidR="00ED7F17" w:rsidRDefault="00ED7F17" w:rsidP="00ED7F17">
      <w:pPr>
        <w:widowControl w:val="0"/>
        <w:jc w:val="both"/>
      </w:pPr>
      <w:r>
        <w:rPr>
          <w:color w:val="000000"/>
          <w:kern w:val="2"/>
          <w:lang w:bidi="hi-IN"/>
        </w:rPr>
        <w:t>4.ФБУ Центр реабилитации фонда социального страхования РФ «Тинаки»</w:t>
      </w:r>
    </w:p>
    <w:p w:rsidR="00ED7F17" w:rsidRDefault="00ED7F17" w:rsidP="00ED7F17">
      <w:pPr>
        <w:widowControl w:val="0"/>
        <w:ind w:firstLine="680"/>
        <w:jc w:val="both"/>
        <w:rPr>
          <w:bCs/>
          <w:color w:val="000000"/>
          <w:kern w:val="2"/>
          <w:lang w:bidi="hi-IN"/>
        </w:rPr>
      </w:pPr>
    </w:p>
    <w:p w:rsidR="00ED7F17" w:rsidRDefault="00ED7F17" w:rsidP="00ED7F17">
      <w:pPr>
        <w:widowControl w:val="0"/>
        <w:ind w:firstLine="680"/>
        <w:jc w:val="both"/>
        <w:rPr>
          <w:bCs/>
          <w:color w:val="000000"/>
          <w:kern w:val="2"/>
          <w:lang w:bidi="hi-IN"/>
        </w:rPr>
      </w:pPr>
    </w:p>
    <w:tbl>
      <w:tblPr>
        <w:tblW w:w="0" w:type="auto"/>
        <w:tblInd w:w="103" w:type="dxa"/>
        <w:tblLayout w:type="fixed"/>
        <w:tblCellMar>
          <w:left w:w="103" w:type="dxa"/>
        </w:tblCellMar>
        <w:tblLook w:val="04A0" w:firstRow="1" w:lastRow="0" w:firstColumn="1" w:lastColumn="0" w:noHBand="0" w:noVBand="1"/>
      </w:tblPr>
      <w:tblGrid>
        <w:gridCol w:w="1095"/>
        <w:gridCol w:w="4617"/>
        <w:gridCol w:w="1378"/>
        <w:gridCol w:w="2329"/>
      </w:tblGrid>
      <w:tr w:rsidR="00ED7F17" w:rsidTr="00ED7F17">
        <w:trPr>
          <w:trHeight w:val="405"/>
        </w:trPr>
        <w:tc>
          <w:tcPr>
            <w:tcW w:w="9419" w:type="dxa"/>
            <w:gridSpan w:val="4"/>
            <w:tcBorders>
              <w:top w:val="single" w:sz="4" w:space="0" w:color="000001"/>
              <w:left w:val="single" w:sz="4" w:space="0" w:color="000001"/>
              <w:bottom w:val="single" w:sz="4" w:space="0" w:color="000001"/>
              <w:right w:val="single" w:sz="4" w:space="0" w:color="000001"/>
            </w:tcBorders>
            <w:shd w:val="clear" w:color="auto" w:fill="FFFFFF"/>
            <w:hideMark/>
          </w:tcPr>
          <w:p w:rsidR="00ED7F17" w:rsidRDefault="00ED7F17">
            <w:pPr>
              <w:widowControl w:val="0"/>
              <w:jc w:val="center"/>
              <w:rPr>
                <w:rFonts w:ascii="Arial" w:eastAsia="Arial" w:hAnsi="Arial" w:cs="Arial"/>
                <w:sz w:val="22"/>
                <w:szCs w:val="22"/>
              </w:rPr>
            </w:pPr>
            <w:r>
              <w:rPr>
                <w:b/>
                <w:bCs/>
                <w:color w:val="000000"/>
                <w:kern w:val="2"/>
                <w:lang w:eastAsia="ru-RU" w:bidi="hi-IN"/>
              </w:rPr>
              <w:t>Кадровое обеспечение региона</w:t>
            </w:r>
          </w:p>
        </w:tc>
      </w:tr>
      <w:tr w:rsidR="00ED7F17" w:rsidTr="00ED7F17">
        <w:trPr>
          <w:trHeight w:val="540"/>
        </w:trPr>
        <w:tc>
          <w:tcPr>
            <w:tcW w:w="1095" w:type="dxa"/>
            <w:tcBorders>
              <w:top w:val="single" w:sz="4" w:space="0" w:color="000001"/>
              <w:left w:val="single" w:sz="4" w:space="0" w:color="000001"/>
              <w:bottom w:val="single" w:sz="4" w:space="0" w:color="000001"/>
              <w:right w:val="nil"/>
            </w:tcBorders>
            <w:shd w:val="clear" w:color="auto" w:fill="FFFFFF"/>
            <w:hideMark/>
          </w:tcPr>
          <w:p w:rsidR="00ED7F17" w:rsidRDefault="00ED7F17">
            <w:pPr>
              <w:widowControl w:val="0"/>
              <w:jc w:val="right"/>
              <w:rPr>
                <w:rFonts w:ascii="Arial" w:eastAsia="Arial" w:hAnsi="Arial" w:cs="Arial"/>
                <w:sz w:val="22"/>
                <w:szCs w:val="22"/>
              </w:rPr>
            </w:pPr>
            <w:r>
              <w:rPr>
                <w:b/>
                <w:bCs/>
                <w:color w:val="000000"/>
                <w:kern w:val="2"/>
                <w:lang w:eastAsia="ru-RU" w:bidi="hi-IN"/>
              </w:rPr>
              <w:t>№ п/п</w:t>
            </w:r>
          </w:p>
        </w:tc>
        <w:tc>
          <w:tcPr>
            <w:tcW w:w="4617" w:type="dxa"/>
            <w:tcBorders>
              <w:top w:val="single" w:sz="4" w:space="0" w:color="000001"/>
              <w:left w:val="single" w:sz="4" w:space="0" w:color="000001"/>
              <w:bottom w:val="single" w:sz="4" w:space="0" w:color="000001"/>
              <w:right w:val="nil"/>
            </w:tcBorders>
            <w:shd w:val="clear" w:color="auto" w:fill="FFFFFF"/>
            <w:hideMark/>
          </w:tcPr>
          <w:p w:rsidR="00ED7F17" w:rsidRDefault="00ED7F17">
            <w:pPr>
              <w:widowControl w:val="0"/>
              <w:rPr>
                <w:rFonts w:ascii="Arial" w:eastAsia="Arial" w:hAnsi="Arial" w:cs="Arial"/>
                <w:sz w:val="22"/>
                <w:szCs w:val="22"/>
              </w:rPr>
            </w:pPr>
            <w:r>
              <w:rPr>
                <w:b/>
                <w:bCs/>
                <w:color w:val="000000"/>
                <w:kern w:val="2"/>
                <w:lang w:eastAsia="ru-RU" w:bidi="hi-IN"/>
              </w:rPr>
              <w:t>Наименование</w:t>
            </w:r>
          </w:p>
        </w:tc>
        <w:tc>
          <w:tcPr>
            <w:tcW w:w="1378" w:type="dxa"/>
            <w:tcBorders>
              <w:top w:val="single" w:sz="4" w:space="0" w:color="000001"/>
              <w:left w:val="single" w:sz="4" w:space="0" w:color="000001"/>
              <w:bottom w:val="single" w:sz="4" w:space="0" w:color="000001"/>
              <w:right w:val="nil"/>
            </w:tcBorders>
            <w:shd w:val="clear" w:color="auto" w:fill="FFFFFF"/>
            <w:hideMark/>
          </w:tcPr>
          <w:p w:rsidR="00ED7F17" w:rsidRDefault="00ED7F17">
            <w:pPr>
              <w:widowControl w:val="0"/>
              <w:jc w:val="center"/>
              <w:rPr>
                <w:rFonts w:ascii="Arial" w:eastAsia="Arial" w:hAnsi="Arial" w:cs="Arial"/>
                <w:sz w:val="22"/>
                <w:szCs w:val="22"/>
              </w:rPr>
            </w:pPr>
            <w:r>
              <w:rPr>
                <w:b/>
                <w:bCs/>
                <w:color w:val="000000"/>
                <w:kern w:val="2"/>
                <w:lang w:eastAsia="ru-RU" w:bidi="hi-IN"/>
              </w:rPr>
              <w:t>Ставки</w:t>
            </w:r>
          </w:p>
        </w:tc>
        <w:tc>
          <w:tcPr>
            <w:tcW w:w="2329" w:type="dxa"/>
            <w:tcBorders>
              <w:top w:val="single" w:sz="4" w:space="0" w:color="000001"/>
              <w:left w:val="single" w:sz="4" w:space="0" w:color="000001"/>
              <w:bottom w:val="single" w:sz="4" w:space="0" w:color="000001"/>
              <w:right w:val="single" w:sz="4" w:space="0" w:color="000001"/>
            </w:tcBorders>
            <w:shd w:val="clear" w:color="auto" w:fill="FFFFFF"/>
            <w:vAlign w:val="center"/>
            <w:hideMark/>
          </w:tcPr>
          <w:p w:rsidR="00ED7F17" w:rsidRDefault="00ED7F17">
            <w:pPr>
              <w:widowControl w:val="0"/>
              <w:jc w:val="center"/>
              <w:rPr>
                <w:rFonts w:ascii="Arial" w:eastAsia="Arial" w:hAnsi="Arial" w:cs="Arial"/>
                <w:sz w:val="22"/>
                <w:szCs w:val="22"/>
              </w:rPr>
            </w:pPr>
            <w:r>
              <w:rPr>
                <w:b/>
                <w:bCs/>
                <w:color w:val="000000"/>
                <w:kern w:val="2"/>
                <w:lang w:eastAsia="ru-RU" w:bidi="hi-IN"/>
              </w:rPr>
              <w:t>Физические лица</w:t>
            </w:r>
          </w:p>
        </w:tc>
      </w:tr>
      <w:tr w:rsidR="00ED7F17" w:rsidTr="00ED7F17">
        <w:trPr>
          <w:trHeight w:val="315"/>
        </w:trPr>
        <w:tc>
          <w:tcPr>
            <w:tcW w:w="1095" w:type="dxa"/>
            <w:tcBorders>
              <w:top w:val="single" w:sz="4" w:space="0" w:color="000001"/>
              <w:left w:val="single" w:sz="4" w:space="0" w:color="000001"/>
              <w:bottom w:val="single" w:sz="4" w:space="0" w:color="000001"/>
              <w:right w:val="nil"/>
            </w:tcBorders>
            <w:shd w:val="clear" w:color="auto" w:fill="FFFFFF"/>
            <w:hideMark/>
          </w:tcPr>
          <w:p w:rsidR="00ED7F17" w:rsidRDefault="00ED7F17" w:rsidP="00ED7F17">
            <w:pPr>
              <w:widowControl w:val="0"/>
              <w:numPr>
                <w:ilvl w:val="0"/>
                <w:numId w:val="10"/>
              </w:numPr>
              <w:tabs>
                <w:tab w:val="left" w:pos="750"/>
              </w:tabs>
              <w:overflowPunct/>
              <w:contextualSpacing/>
              <w:jc w:val="both"/>
              <w:rPr>
                <w:rFonts w:ascii="Arial" w:eastAsia="Arial" w:hAnsi="Arial" w:cs="Arial"/>
                <w:sz w:val="22"/>
                <w:szCs w:val="22"/>
              </w:rPr>
            </w:pPr>
            <w:r>
              <w:rPr>
                <w:color w:val="000000"/>
                <w:kern w:val="2"/>
                <w:lang w:eastAsia="ru-RU" w:bidi="hi-IN"/>
              </w:rPr>
              <w:t>1.</w:t>
            </w:r>
          </w:p>
        </w:tc>
        <w:tc>
          <w:tcPr>
            <w:tcW w:w="4617" w:type="dxa"/>
            <w:tcBorders>
              <w:top w:val="single" w:sz="4" w:space="0" w:color="000001"/>
              <w:left w:val="single" w:sz="4" w:space="0" w:color="000001"/>
              <w:bottom w:val="single" w:sz="4" w:space="0" w:color="000001"/>
              <w:right w:val="nil"/>
            </w:tcBorders>
            <w:shd w:val="clear" w:color="auto" w:fill="FFFFFF"/>
            <w:hideMark/>
          </w:tcPr>
          <w:p w:rsidR="00ED7F17" w:rsidRDefault="00ED7F17">
            <w:pPr>
              <w:widowControl w:val="0"/>
              <w:rPr>
                <w:rFonts w:ascii="Arial" w:eastAsia="Arial" w:hAnsi="Arial" w:cs="Arial"/>
                <w:sz w:val="22"/>
                <w:szCs w:val="22"/>
              </w:rPr>
            </w:pPr>
            <w:r>
              <w:rPr>
                <w:color w:val="000000"/>
                <w:kern w:val="2"/>
                <w:lang w:eastAsia="ru-RU" w:bidi="hi-IN"/>
              </w:rPr>
              <w:t>Врач невролог</w:t>
            </w:r>
          </w:p>
        </w:tc>
        <w:tc>
          <w:tcPr>
            <w:tcW w:w="1378" w:type="dxa"/>
            <w:tcBorders>
              <w:top w:val="single" w:sz="4" w:space="0" w:color="000001"/>
              <w:left w:val="single" w:sz="4" w:space="0" w:color="000001"/>
              <w:bottom w:val="single" w:sz="4" w:space="0" w:color="000001"/>
              <w:right w:val="nil"/>
            </w:tcBorders>
            <w:shd w:val="clear" w:color="auto" w:fill="FFFFFF"/>
            <w:hideMark/>
          </w:tcPr>
          <w:p w:rsidR="00ED7F17" w:rsidRDefault="00ED7F17">
            <w:pPr>
              <w:widowControl w:val="0"/>
              <w:jc w:val="center"/>
              <w:rPr>
                <w:rFonts w:ascii="Arial" w:eastAsia="Arial" w:hAnsi="Arial" w:cs="Arial"/>
                <w:sz w:val="22"/>
                <w:szCs w:val="22"/>
              </w:rPr>
            </w:pPr>
            <w:r>
              <w:rPr>
                <w:color w:val="000000"/>
                <w:kern w:val="2"/>
                <w:lang w:eastAsia="ru-RU" w:bidi="hi-IN"/>
              </w:rPr>
              <w:t>24,5</w:t>
            </w:r>
          </w:p>
        </w:tc>
        <w:tc>
          <w:tcPr>
            <w:tcW w:w="2329" w:type="dxa"/>
            <w:tcBorders>
              <w:top w:val="single" w:sz="4" w:space="0" w:color="000001"/>
              <w:left w:val="single" w:sz="4" w:space="0" w:color="000001"/>
              <w:bottom w:val="single" w:sz="4" w:space="0" w:color="000001"/>
              <w:right w:val="single" w:sz="4" w:space="0" w:color="000001"/>
            </w:tcBorders>
            <w:shd w:val="clear" w:color="auto" w:fill="FFFFFF"/>
            <w:hideMark/>
          </w:tcPr>
          <w:p w:rsidR="00ED7F17" w:rsidRDefault="00ED7F17">
            <w:pPr>
              <w:widowControl w:val="0"/>
              <w:jc w:val="center"/>
              <w:rPr>
                <w:rFonts w:ascii="Arial" w:eastAsia="Arial" w:hAnsi="Arial" w:cs="Arial"/>
                <w:sz w:val="22"/>
                <w:szCs w:val="22"/>
              </w:rPr>
            </w:pPr>
            <w:r>
              <w:rPr>
                <w:color w:val="000000"/>
                <w:kern w:val="2"/>
                <w:lang w:eastAsia="ru-RU" w:bidi="hi-IN"/>
              </w:rPr>
              <w:t>24</w:t>
            </w:r>
          </w:p>
        </w:tc>
      </w:tr>
      <w:tr w:rsidR="00ED7F17" w:rsidTr="00ED7F17">
        <w:trPr>
          <w:trHeight w:val="315"/>
        </w:trPr>
        <w:tc>
          <w:tcPr>
            <w:tcW w:w="1095" w:type="dxa"/>
            <w:tcBorders>
              <w:top w:val="single" w:sz="4" w:space="0" w:color="000001"/>
              <w:left w:val="single" w:sz="4" w:space="0" w:color="000001"/>
              <w:bottom w:val="single" w:sz="4" w:space="0" w:color="000001"/>
              <w:right w:val="nil"/>
            </w:tcBorders>
            <w:shd w:val="clear" w:color="auto" w:fill="FFFFFF"/>
            <w:hideMark/>
          </w:tcPr>
          <w:p w:rsidR="00ED7F17" w:rsidRDefault="00ED7F17" w:rsidP="00ED7F17">
            <w:pPr>
              <w:widowControl w:val="0"/>
              <w:numPr>
                <w:ilvl w:val="0"/>
                <w:numId w:val="10"/>
              </w:numPr>
              <w:tabs>
                <w:tab w:val="left" w:pos="315"/>
                <w:tab w:val="center" w:pos="442"/>
              </w:tabs>
              <w:overflowPunct/>
              <w:contextualSpacing/>
              <w:jc w:val="both"/>
              <w:rPr>
                <w:rFonts w:ascii="Arial" w:eastAsia="Arial" w:hAnsi="Arial" w:cs="Arial"/>
                <w:sz w:val="22"/>
                <w:szCs w:val="22"/>
              </w:rPr>
            </w:pPr>
            <w:r>
              <w:rPr>
                <w:color w:val="000000"/>
                <w:kern w:val="2"/>
                <w:lang w:eastAsia="ru-RU" w:bidi="hi-IN"/>
              </w:rPr>
              <w:t>2.</w:t>
            </w:r>
          </w:p>
        </w:tc>
        <w:tc>
          <w:tcPr>
            <w:tcW w:w="4617" w:type="dxa"/>
            <w:tcBorders>
              <w:top w:val="single" w:sz="4" w:space="0" w:color="000001"/>
              <w:left w:val="single" w:sz="4" w:space="0" w:color="000001"/>
              <w:bottom w:val="single" w:sz="4" w:space="0" w:color="000001"/>
              <w:right w:val="nil"/>
            </w:tcBorders>
            <w:shd w:val="clear" w:color="auto" w:fill="FFFFFF"/>
            <w:hideMark/>
          </w:tcPr>
          <w:p w:rsidR="00ED7F17" w:rsidRDefault="00ED7F17">
            <w:pPr>
              <w:widowControl w:val="0"/>
              <w:rPr>
                <w:rFonts w:ascii="Arial" w:eastAsia="Arial" w:hAnsi="Arial" w:cs="Arial"/>
                <w:sz w:val="22"/>
                <w:szCs w:val="22"/>
              </w:rPr>
            </w:pPr>
            <w:r>
              <w:rPr>
                <w:color w:val="000000"/>
                <w:kern w:val="2"/>
                <w:lang w:eastAsia="ru-RU" w:bidi="hi-IN"/>
              </w:rPr>
              <w:t>Врач кардиолог</w:t>
            </w:r>
          </w:p>
        </w:tc>
        <w:tc>
          <w:tcPr>
            <w:tcW w:w="1378" w:type="dxa"/>
            <w:tcBorders>
              <w:top w:val="single" w:sz="4" w:space="0" w:color="000001"/>
              <w:left w:val="single" w:sz="4" w:space="0" w:color="000001"/>
              <w:bottom w:val="single" w:sz="4" w:space="0" w:color="000001"/>
              <w:right w:val="nil"/>
            </w:tcBorders>
            <w:shd w:val="clear" w:color="auto" w:fill="FFFFFF"/>
            <w:hideMark/>
          </w:tcPr>
          <w:p w:rsidR="00ED7F17" w:rsidRDefault="00ED7F17">
            <w:pPr>
              <w:widowControl w:val="0"/>
              <w:jc w:val="center"/>
              <w:rPr>
                <w:rFonts w:ascii="Arial" w:eastAsia="Arial" w:hAnsi="Arial" w:cs="Arial"/>
                <w:sz w:val="22"/>
                <w:szCs w:val="22"/>
              </w:rPr>
            </w:pPr>
            <w:r>
              <w:rPr>
                <w:color w:val="000000"/>
                <w:kern w:val="2"/>
                <w:lang w:eastAsia="ru-RU" w:bidi="hi-IN"/>
              </w:rPr>
              <w:t>19,5</w:t>
            </w:r>
          </w:p>
        </w:tc>
        <w:tc>
          <w:tcPr>
            <w:tcW w:w="2329" w:type="dxa"/>
            <w:tcBorders>
              <w:top w:val="single" w:sz="4" w:space="0" w:color="000001"/>
              <w:left w:val="single" w:sz="4" w:space="0" w:color="000001"/>
              <w:bottom w:val="single" w:sz="4" w:space="0" w:color="000001"/>
              <w:right w:val="single" w:sz="4" w:space="0" w:color="000001"/>
            </w:tcBorders>
            <w:shd w:val="clear" w:color="auto" w:fill="FFFFFF"/>
            <w:hideMark/>
          </w:tcPr>
          <w:p w:rsidR="00ED7F17" w:rsidRDefault="00ED7F17">
            <w:pPr>
              <w:widowControl w:val="0"/>
              <w:jc w:val="center"/>
              <w:rPr>
                <w:rFonts w:ascii="Arial" w:eastAsia="Arial" w:hAnsi="Arial" w:cs="Arial"/>
                <w:sz w:val="22"/>
                <w:szCs w:val="22"/>
              </w:rPr>
            </w:pPr>
            <w:r>
              <w:rPr>
                <w:color w:val="000000"/>
                <w:kern w:val="2"/>
                <w:lang w:eastAsia="ru-RU" w:bidi="hi-IN"/>
              </w:rPr>
              <w:t>19</w:t>
            </w:r>
          </w:p>
        </w:tc>
      </w:tr>
      <w:tr w:rsidR="00ED7F17" w:rsidTr="00ED7F17">
        <w:trPr>
          <w:trHeight w:val="315"/>
        </w:trPr>
        <w:tc>
          <w:tcPr>
            <w:tcW w:w="1095" w:type="dxa"/>
            <w:tcBorders>
              <w:top w:val="single" w:sz="4" w:space="0" w:color="000001"/>
              <w:left w:val="single" w:sz="4" w:space="0" w:color="000001"/>
              <w:bottom w:val="single" w:sz="4" w:space="0" w:color="000001"/>
              <w:right w:val="nil"/>
            </w:tcBorders>
            <w:shd w:val="clear" w:color="auto" w:fill="FFFFFF"/>
            <w:hideMark/>
          </w:tcPr>
          <w:p w:rsidR="00ED7F17" w:rsidRDefault="00ED7F17" w:rsidP="00ED7F17">
            <w:pPr>
              <w:widowControl w:val="0"/>
              <w:numPr>
                <w:ilvl w:val="0"/>
                <w:numId w:val="10"/>
              </w:numPr>
              <w:tabs>
                <w:tab w:val="left" w:pos="315"/>
                <w:tab w:val="center" w:pos="442"/>
              </w:tabs>
              <w:overflowPunct/>
              <w:contextualSpacing/>
              <w:jc w:val="both"/>
              <w:rPr>
                <w:rFonts w:ascii="Arial" w:eastAsia="Arial" w:hAnsi="Arial" w:cs="Arial"/>
                <w:sz w:val="22"/>
                <w:szCs w:val="22"/>
              </w:rPr>
            </w:pPr>
            <w:r>
              <w:rPr>
                <w:color w:val="000000"/>
                <w:kern w:val="2"/>
                <w:lang w:eastAsia="ru-RU" w:bidi="hi-IN"/>
              </w:rPr>
              <w:t>3.</w:t>
            </w:r>
          </w:p>
        </w:tc>
        <w:tc>
          <w:tcPr>
            <w:tcW w:w="4617" w:type="dxa"/>
            <w:tcBorders>
              <w:top w:val="single" w:sz="4" w:space="0" w:color="000001"/>
              <w:left w:val="single" w:sz="4" w:space="0" w:color="000001"/>
              <w:bottom w:val="single" w:sz="4" w:space="0" w:color="000001"/>
              <w:right w:val="nil"/>
            </w:tcBorders>
            <w:shd w:val="clear" w:color="auto" w:fill="FFFFFF"/>
            <w:hideMark/>
          </w:tcPr>
          <w:p w:rsidR="00ED7F17" w:rsidRDefault="00ED7F17">
            <w:pPr>
              <w:widowControl w:val="0"/>
              <w:rPr>
                <w:rFonts w:ascii="Arial" w:eastAsia="Arial" w:hAnsi="Arial" w:cs="Arial"/>
                <w:sz w:val="22"/>
                <w:szCs w:val="22"/>
              </w:rPr>
            </w:pPr>
            <w:r>
              <w:rPr>
                <w:color w:val="000000"/>
                <w:kern w:val="2"/>
                <w:lang w:eastAsia="ru-RU" w:bidi="hi-IN"/>
              </w:rPr>
              <w:t>Врач терапевт</w:t>
            </w:r>
          </w:p>
        </w:tc>
        <w:tc>
          <w:tcPr>
            <w:tcW w:w="1378" w:type="dxa"/>
            <w:tcBorders>
              <w:top w:val="single" w:sz="4" w:space="0" w:color="000001"/>
              <w:left w:val="single" w:sz="4" w:space="0" w:color="000001"/>
              <w:bottom w:val="single" w:sz="4" w:space="0" w:color="000001"/>
              <w:right w:val="nil"/>
            </w:tcBorders>
            <w:shd w:val="clear" w:color="auto" w:fill="FFFFFF"/>
            <w:hideMark/>
          </w:tcPr>
          <w:p w:rsidR="00ED7F17" w:rsidRDefault="00ED7F17">
            <w:pPr>
              <w:widowControl w:val="0"/>
              <w:jc w:val="center"/>
              <w:rPr>
                <w:rFonts w:ascii="Arial" w:eastAsia="Arial" w:hAnsi="Arial" w:cs="Arial"/>
                <w:sz w:val="22"/>
                <w:szCs w:val="22"/>
              </w:rPr>
            </w:pPr>
            <w:r>
              <w:rPr>
                <w:color w:val="000000"/>
                <w:kern w:val="2"/>
                <w:lang w:eastAsia="ru-RU" w:bidi="hi-IN"/>
              </w:rPr>
              <w:t>3</w:t>
            </w:r>
          </w:p>
        </w:tc>
        <w:tc>
          <w:tcPr>
            <w:tcW w:w="2329" w:type="dxa"/>
            <w:tcBorders>
              <w:top w:val="single" w:sz="4" w:space="0" w:color="000001"/>
              <w:left w:val="single" w:sz="4" w:space="0" w:color="000001"/>
              <w:bottom w:val="single" w:sz="4" w:space="0" w:color="000001"/>
              <w:right w:val="single" w:sz="4" w:space="0" w:color="000001"/>
            </w:tcBorders>
            <w:shd w:val="clear" w:color="auto" w:fill="FFFFFF"/>
            <w:hideMark/>
          </w:tcPr>
          <w:p w:rsidR="00ED7F17" w:rsidRDefault="00ED7F17">
            <w:pPr>
              <w:widowControl w:val="0"/>
              <w:jc w:val="center"/>
              <w:rPr>
                <w:rFonts w:ascii="Arial" w:eastAsia="Arial" w:hAnsi="Arial" w:cs="Arial"/>
                <w:sz w:val="22"/>
                <w:szCs w:val="22"/>
              </w:rPr>
            </w:pPr>
            <w:r>
              <w:rPr>
                <w:color w:val="000000"/>
                <w:kern w:val="2"/>
                <w:lang w:eastAsia="ru-RU" w:bidi="hi-IN"/>
              </w:rPr>
              <w:t>3</w:t>
            </w:r>
          </w:p>
        </w:tc>
      </w:tr>
      <w:tr w:rsidR="00ED7F17" w:rsidTr="00ED7F17">
        <w:trPr>
          <w:trHeight w:val="315"/>
        </w:trPr>
        <w:tc>
          <w:tcPr>
            <w:tcW w:w="1095" w:type="dxa"/>
            <w:tcBorders>
              <w:top w:val="single" w:sz="4" w:space="0" w:color="000001"/>
              <w:left w:val="single" w:sz="4" w:space="0" w:color="000001"/>
              <w:bottom w:val="single" w:sz="4" w:space="0" w:color="000001"/>
              <w:right w:val="nil"/>
            </w:tcBorders>
            <w:shd w:val="clear" w:color="auto" w:fill="FFFFFF"/>
            <w:hideMark/>
          </w:tcPr>
          <w:p w:rsidR="00ED7F17" w:rsidRDefault="00ED7F17">
            <w:pPr>
              <w:widowControl w:val="0"/>
              <w:tabs>
                <w:tab w:val="left" w:pos="315"/>
                <w:tab w:val="center" w:pos="442"/>
              </w:tabs>
              <w:rPr>
                <w:rFonts w:ascii="Arial" w:eastAsia="Arial" w:hAnsi="Arial" w:cs="Arial"/>
                <w:sz w:val="22"/>
                <w:szCs w:val="22"/>
              </w:rPr>
            </w:pPr>
            <w:r>
              <w:rPr>
                <w:color w:val="000000"/>
                <w:kern w:val="2"/>
                <w:lang w:eastAsia="ru-RU" w:bidi="hi-IN"/>
              </w:rPr>
              <w:t>4.</w:t>
            </w:r>
          </w:p>
        </w:tc>
        <w:tc>
          <w:tcPr>
            <w:tcW w:w="4617" w:type="dxa"/>
            <w:tcBorders>
              <w:top w:val="single" w:sz="4" w:space="0" w:color="000001"/>
              <w:left w:val="single" w:sz="4" w:space="0" w:color="000001"/>
              <w:bottom w:val="single" w:sz="4" w:space="0" w:color="000001"/>
              <w:right w:val="nil"/>
            </w:tcBorders>
            <w:shd w:val="clear" w:color="auto" w:fill="FFFFFF"/>
            <w:hideMark/>
          </w:tcPr>
          <w:p w:rsidR="00ED7F17" w:rsidRDefault="00ED7F17">
            <w:pPr>
              <w:widowControl w:val="0"/>
              <w:rPr>
                <w:rFonts w:ascii="Arial" w:eastAsia="Arial" w:hAnsi="Arial" w:cs="Arial"/>
                <w:sz w:val="22"/>
                <w:szCs w:val="22"/>
              </w:rPr>
            </w:pPr>
            <w:r>
              <w:rPr>
                <w:color w:val="000000"/>
                <w:kern w:val="2"/>
                <w:lang w:eastAsia="ru-RU" w:bidi="hi-IN"/>
              </w:rPr>
              <w:t>Врач ортопед</w:t>
            </w:r>
          </w:p>
        </w:tc>
        <w:tc>
          <w:tcPr>
            <w:tcW w:w="1378" w:type="dxa"/>
            <w:tcBorders>
              <w:top w:val="single" w:sz="4" w:space="0" w:color="000001"/>
              <w:left w:val="single" w:sz="4" w:space="0" w:color="000001"/>
              <w:bottom w:val="single" w:sz="4" w:space="0" w:color="000001"/>
              <w:right w:val="nil"/>
            </w:tcBorders>
            <w:shd w:val="clear" w:color="auto" w:fill="FFFFFF"/>
            <w:hideMark/>
          </w:tcPr>
          <w:p w:rsidR="00ED7F17" w:rsidRDefault="00ED7F17">
            <w:pPr>
              <w:widowControl w:val="0"/>
              <w:jc w:val="center"/>
              <w:rPr>
                <w:rFonts w:ascii="Arial" w:eastAsia="Arial" w:hAnsi="Arial" w:cs="Arial"/>
                <w:sz w:val="22"/>
                <w:szCs w:val="22"/>
              </w:rPr>
            </w:pPr>
            <w:r>
              <w:rPr>
                <w:color w:val="000000"/>
                <w:kern w:val="2"/>
                <w:lang w:eastAsia="ru-RU" w:bidi="hi-IN"/>
              </w:rPr>
              <w:t>2</w:t>
            </w:r>
          </w:p>
        </w:tc>
        <w:tc>
          <w:tcPr>
            <w:tcW w:w="2329" w:type="dxa"/>
            <w:tcBorders>
              <w:top w:val="single" w:sz="4" w:space="0" w:color="000001"/>
              <w:left w:val="single" w:sz="4" w:space="0" w:color="000001"/>
              <w:bottom w:val="single" w:sz="4" w:space="0" w:color="000001"/>
              <w:right w:val="single" w:sz="4" w:space="0" w:color="000001"/>
            </w:tcBorders>
            <w:shd w:val="clear" w:color="auto" w:fill="FFFFFF"/>
            <w:hideMark/>
          </w:tcPr>
          <w:p w:rsidR="00ED7F17" w:rsidRDefault="00ED7F17">
            <w:pPr>
              <w:widowControl w:val="0"/>
              <w:jc w:val="center"/>
              <w:rPr>
                <w:rFonts w:ascii="Arial" w:eastAsia="Arial" w:hAnsi="Arial" w:cs="Arial"/>
                <w:sz w:val="22"/>
                <w:szCs w:val="22"/>
              </w:rPr>
            </w:pPr>
            <w:r>
              <w:rPr>
                <w:color w:val="000000"/>
                <w:kern w:val="2"/>
                <w:lang w:eastAsia="ru-RU" w:bidi="hi-IN"/>
              </w:rPr>
              <w:t>2</w:t>
            </w:r>
          </w:p>
        </w:tc>
      </w:tr>
      <w:tr w:rsidR="00ED7F17" w:rsidTr="00ED7F17">
        <w:trPr>
          <w:trHeight w:val="315"/>
        </w:trPr>
        <w:tc>
          <w:tcPr>
            <w:tcW w:w="1095" w:type="dxa"/>
            <w:tcBorders>
              <w:top w:val="single" w:sz="4" w:space="0" w:color="000001"/>
              <w:left w:val="single" w:sz="4" w:space="0" w:color="000001"/>
              <w:bottom w:val="single" w:sz="4" w:space="0" w:color="000001"/>
              <w:right w:val="nil"/>
            </w:tcBorders>
            <w:shd w:val="clear" w:color="auto" w:fill="FFFFFF"/>
            <w:hideMark/>
          </w:tcPr>
          <w:p w:rsidR="00ED7F17" w:rsidRDefault="00ED7F17">
            <w:pPr>
              <w:widowControl w:val="0"/>
              <w:tabs>
                <w:tab w:val="left" w:pos="315"/>
                <w:tab w:val="center" w:pos="442"/>
              </w:tabs>
              <w:rPr>
                <w:rFonts w:ascii="Arial" w:eastAsia="Arial" w:hAnsi="Arial" w:cs="Arial"/>
                <w:sz w:val="22"/>
                <w:szCs w:val="22"/>
              </w:rPr>
            </w:pPr>
            <w:r>
              <w:rPr>
                <w:color w:val="000000"/>
                <w:kern w:val="2"/>
                <w:lang w:eastAsia="ru-RU" w:bidi="hi-IN"/>
              </w:rPr>
              <w:t>5.</w:t>
            </w:r>
          </w:p>
        </w:tc>
        <w:tc>
          <w:tcPr>
            <w:tcW w:w="4617" w:type="dxa"/>
            <w:tcBorders>
              <w:top w:val="single" w:sz="4" w:space="0" w:color="000001"/>
              <w:left w:val="single" w:sz="4" w:space="0" w:color="000001"/>
              <w:bottom w:val="single" w:sz="4" w:space="0" w:color="000001"/>
              <w:right w:val="nil"/>
            </w:tcBorders>
            <w:shd w:val="clear" w:color="auto" w:fill="FFFFFF"/>
            <w:hideMark/>
          </w:tcPr>
          <w:p w:rsidR="00ED7F17" w:rsidRDefault="00ED7F17">
            <w:pPr>
              <w:widowControl w:val="0"/>
              <w:rPr>
                <w:rFonts w:ascii="Arial" w:eastAsia="Arial" w:hAnsi="Arial" w:cs="Arial"/>
                <w:sz w:val="22"/>
                <w:szCs w:val="22"/>
              </w:rPr>
            </w:pPr>
            <w:r>
              <w:rPr>
                <w:color w:val="000000"/>
                <w:kern w:val="2"/>
                <w:lang w:eastAsia="ru-RU" w:bidi="hi-IN"/>
              </w:rPr>
              <w:t>Врач ЛФК</w:t>
            </w:r>
          </w:p>
        </w:tc>
        <w:tc>
          <w:tcPr>
            <w:tcW w:w="1378" w:type="dxa"/>
            <w:tcBorders>
              <w:top w:val="single" w:sz="4" w:space="0" w:color="000001"/>
              <w:left w:val="single" w:sz="4" w:space="0" w:color="000001"/>
              <w:bottom w:val="single" w:sz="4" w:space="0" w:color="000001"/>
              <w:right w:val="nil"/>
            </w:tcBorders>
            <w:shd w:val="clear" w:color="auto" w:fill="FFFFFF"/>
            <w:hideMark/>
          </w:tcPr>
          <w:p w:rsidR="00ED7F17" w:rsidRDefault="00ED7F17">
            <w:pPr>
              <w:widowControl w:val="0"/>
              <w:jc w:val="center"/>
              <w:rPr>
                <w:rFonts w:ascii="Arial" w:eastAsia="Arial" w:hAnsi="Arial" w:cs="Arial"/>
                <w:sz w:val="22"/>
                <w:szCs w:val="22"/>
              </w:rPr>
            </w:pPr>
            <w:r>
              <w:rPr>
                <w:color w:val="000000"/>
                <w:kern w:val="2"/>
                <w:lang w:eastAsia="ru-RU" w:bidi="hi-IN"/>
              </w:rPr>
              <w:t>9</w:t>
            </w:r>
          </w:p>
        </w:tc>
        <w:tc>
          <w:tcPr>
            <w:tcW w:w="2329" w:type="dxa"/>
            <w:tcBorders>
              <w:top w:val="single" w:sz="4" w:space="0" w:color="000001"/>
              <w:left w:val="single" w:sz="4" w:space="0" w:color="000001"/>
              <w:bottom w:val="single" w:sz="4" w:space="0" w:color="000001"/>
              <w:right w:val="single" w:sz="4" w:space="0" w:color="000001"/>
            </w:tcBorders>
            <w:shd w:val="clear" w:color="auto" w:fill="FFFFFF"/>
            <w:hideMark/>
          </w:tcPr>
          <w:p w:rsidR="00ED7F17" w:rsidRDefault="00ED7F17">
            <w:pPr>
              <w:widowControl w:val="0"/>
              <w:jc w:val="center"/>
              <w:rPr>
                <w:rFonts w:ascii="Arial" w:eastAsia="Arial" w:hAnsi="Arial" w:cs="Arial"/>
                <w:sz w:val="22"/>
                <w:szCs w:val="22"/>
              </w:rPr>
            </w:pPr>
            <w:r>
              <w:rPr>
                <w:color w:val="000000"/>
                <w:kern w:val="2"/>
                <w:lang w:eastAsia="ru-RU" w:bidi="hi-IN"/>
              </w:rPr>
              <w:t>9</w:t>
            </w:r>
          </w:p>
        </w:tc>
      </w:tr>
      <w:tr w:rsidR="00ED7F17" w:rsidTr="00ED7F17">
        <w:trPr>
          <w:trHeight w:val="315"/>
        </w:trPr>
        <w:tc>
          <w:tcPr>
            <w:tcW w:w="1095" w:type="dxa"/>
            <w:tcBorders>
              <w:top w:val="single" w:sz="4" w:space="0" w:color="000001"/>
              <w:left w:val="single" w:sz="4" w:space="0" w:color="000001"/>
              <w:bottom w:val="single" w:sz="4" w:space="0" w:color="000001"/>
              <w:right w:val="nil"/>
            </w:tcBorders>
            <w:shd w:val="clear" w:color="auto" w:fill="FFFFFF"/>
            <w:hideMark/>
          </w:tcPr>
          <w:p w:rsidR="00ED7F17" w:rsidRDefault="00ED7F17">
            <w:pPr>
              <w:widowControl w:val="0"/>
              <w:rPr>
                <w:rFonts w:ascii="Arial" w:eastAsia="Arial" w:hAnsi="Arial" w:cs="Arial"/>
                <w:sz w:val="22"/>
                <w:szCs w:val="22"/>
              </w:rPr>
            </w:pPr>
            <w:r>
              <w:rPr>
                <w:color w:val="000000"/>
                <w:kern w:val="2"/>
                <w:lang w:eastAsia="ru-RU" w:bidi="hi-IN"/>
              </w:rPr>
              <w:t>6.</w:t>
            </w:r>
          </w:p>
        </w:tc>
        <w:tc>
          <w:tcPr>
            <w:tcW w:w="4617" w:type="dxa"/>
            <w:tcBorders>
              <w:top w:val="single" w:sz="4" w:space="0" w:color="000001"/>
              <w:left w:val="single" w:sz="4" w:space="0" w:color="000001"/>
              <w:bottom w:val="single" w:sz="4" w:space="0" w:color="000001"/>
              <w:right w:val="nil"/>
            </w:tcBorders>
            <w:shd w:val="clear" w:color="auto" w:fill="FFFFFF"/>
            <w:hideMark/>
          </w:tcPr>
          <w:p w:rsidR="00ED7F17" w:rsidRDefault="00ED7F17">
            <w:pPr>
              <w:widowControl w:val="0"/>
              <w:rPr>
                <w:rFonts w:ascii="Arial" w:eastAsia="Arial" w:hAnsi="Arial" w:cs="Arial"/>
                <w:sz w:val="22"/>
                <w:szCs w:val="22"/>
              </w:rPr>
            </w:pPr>
            <w:r>
              <w:rPr>
                <w:color w:val="000000"/>
                <w:kern w:val="2"/>
                <w:lang w:eastAsia="ru-RU" w:bidi="hi-IN"/>
              </w:rPr>
              <w:t>Врач ФЗТ</w:t>
            </w:r>
          </w:p>
        </w:tc>
        <w:tc>
          <w:tcPr>
            <w:tcW w:w="1378" w:type="dxa"/>
            <w:tcBorders>
              <w:top w:val="single" w:sz="4" w:space="0" w:color="000001"/>
              <w:left w:val="single" w:sz="4" w:space="0" w:color="000001"/>
              <w:bottom w:val="single" w:sz="4" w:space="0" w:color="000001"/>
              <w:right w:val="nil"/>
            </w:tcBorders>
            <w:shd w:val="clear" w:color="auto" w:fill="FFFFFF"/>
            <w:hideMark/>
          </w:tcPr>
          <w:p w:rsidR="00ED7F17" w:rsidRDefault="00ED7F17">
            <w:pPr>
              <w:widowControl w:val="0"/>
              <w:jc w:val="center"/>
              <w:rPr>
                <w:rFonts w:ascii="Arial" w:eastAsia="Arial" w:hAnsi="Arial" w:cs="Arial"/>
                <w:sz w:val="22"/>
                <w:szCs w:val="22"/>
              </w:rPr>
            </w:pPr>
            <w:r>
              <w:rPr>
                <w:color w:val="000000"/>
                <w:kern w:val="2"/>
                <w:lang w:eastAsia="ru-RU" w:bidi="hi-IN"/>
              </w:rPr>
              <w:t>9</w:t>
            </w:r>
          </w:p>
        </w:tc>
        <w:tc>
          <w:tcPr>
            <w:tcW w:w="2329" w:type="dxa"/>
            <w:tcBorders>
              <w:top w:val="single" w:sz="4" w:space="0" w:color="000001"/>
              <w:left w:val="single" w:sz="4" w:space="0" w:color="000001"/>
              <w:bottom w:val="single" w:sz="4" w:space="0" w:color="000001"/>
              <w:right w:val="single" w:sz="4" w:space="0" w:color="000001"/>
            </w:tcBorders>
            <w:shd w:val="clear" w:color="auto" w:fill="FFFFFF"/>
            <w:hideMark/>
          </w:tcPr>
          <w:p w:rsidR="00ED7F17" w:rsidRDefault="00ED7F17">
            <w:pPr>
              <w:widowControl w:val="0"/>
              <w:jc w:val="center"/>
              <w:rPr>
                <w:rFonts w:ascii="Arial" w:eastAsia="Arial" w:hAnsi="Arial" w:cs="Arial"/>
                <w:sz w:val="22"/>
                <w:szCs w:val="22"/>
              </w:rPr>
            </w:pPr>
            <w:r>
              <w:rPr>
                <w:color w:val="000000"/>
                <w:kern w:val="2"/>
                <w:lang w:eastAsia="ru-RU" w:bidi="hi-IN"/>
              </w:rPr>
              <w:t>9</w:t>
            </w:r>
          </w:p>
        </w:tc>
      </w:tr>
      <w:tr w:rsidR="00ED7F17" w:rsidTr="00ED7F17">
        <w:trPr>
          <w:trHeight w:val="315"/>
        </w:trPr>
        <w:tc>
          <w:tcPr>
            <w:tcW w:w="1095" w:type="dxa"/>
            <w:tcBorders>
              <w:top w:val="single" w:sz="4" w:space="0" w:color="000001"/>
              <w:left w:val="single" w:sz="4" w:space="0" w:color="000001"/>
              <w:bottom w:val="single" w:sz="4" w:space="0" w:color="000001"/>
              <w:right w:val="nil"/>
            </w:tcBorders>
            <w:shd w:val="clear" w:color="auto" w:fill="FFFFFF"/>
            <w:hideMark/>
          </w:tcPr>
          <w:p w:rsidR="00ED7F17" w:rsidRDefault="00ED7F17">
            <w:pPr>
              <w:widowControl w:val="0"/>
              <w:rPr>
                <w:rFonts w:ascii="Arial" w:eastAsia="Arial" w:hAnsi="Arial" w:cs="Arial"/>
                <w:sz w:val="22"/>
                <w:szCs w:val="22"/>
              </w:rPr>
            </w:pPr>
            <w:r>
              <w:rPr>
                <w:color w:val="000000"/>
                <w:kern w:val="2"/>
                <w:lang w:eastAsia="ru-RU" w:bidi="hi-IN"/>
              </w:rPr>
              <w:t>7.</w:t>
            </w:r>
          </w:p>
        </w:tc>
        <w:tc>
          <w:tcPr>
            <w:tcW w:w="4617" w:type="dxa"/>
            <w:tcBorders>
              <w:top w:val="single" w:sz="4" w:space="0" w:color="000001"/>
              <w:left w:val="single" w:sz="4" w:space="0" w:color="000001"/>
              <w:bottom w:val="single" w:sz="4" w:space="0" w:color="000001"/>
              <w:right w:val="nil"/>
            </w:tcBorders>
            <w:shd w:val="clear" w:color="auto" w:fill="FFFFFF"/>
            <w:hideMark/>
          </w:tcPr>
          <w:p w:rsidR="00ED7F17" w:rsidRDefault="00ED7F17">
            <w:pPr>
              <w:widowControl w:val="0"/>
              <w:rPr>
                <w:rFonts w:ascii="Arial" w:eastAsia="Arial" w:hAnsi="Arial" w:cs="Arial"/>
                <w:sz w:val="22"/>
                <w:szCs w:val="22"/>
              </w:rPr>
            </w:pPr>
            <w:r>
              <w:rPr>
                <w:color w:val="000000"/>
                <w:kern w:val="2"/>
                <w:lang w:eastAsia="ru-RU" w:bidi="hi-IN"/>
              </w:rPr>
              <w:t>Врач психолог</w:t>
            </w:r>
          </w:p>
        </w:tc>
        <w:tc>
          <w:tcPr>
            <w:tcW w:w="1378" w:type="dxa"/>
            <w:tcBorders>
              <w:top w:val="single" w:sz="4" w:space="0" w:color="000001"/>
              <w:left w:val="single" w:sz="4" w:space="0" w:color="000001"/>
              <w:bottom w:val="single" w:sz="4" w:space="0" w:color="000001"/>
              <w:right w:val="nil"/>
            </w:tcBorders>
            <w:shd w:val="clear" w:color="auto" w:fill="FFFFFF"/>
            <w:hideMark/>
          </w:tcPr>
          <w:p w:rsidR="00ED7F17" w:rsidRDefault="00ED7F17">
            <w:pPr>
              <w:widowControl w:val="0"/>
              <w:jc w:val="center"/>
              <w:rPr>
                <w:rFonts w:ascii="Arial" w:eastAsia="Arial" w:hAnsi="Arial" w:cs="Arial"/>
                <w:sz w:val="22"/>
                <w:szCs w:val="22"/>
              </w:rPr>
            </w:pPr>
            <w:r>
              <w:rPr>
                <w:color w:val="000000"/>
                <w:kern w:val="2"/>
                <w:lang w:eastAsia="ru-RU" w:bidi="hi-IN"/>
              </w:rPr>
              <w:t>9</w:t>
            </w:r>
          </w:p>
        </w:tc>
        <w:tc>
          <w:tcPr>
            <w:tcW w:w="2329" w:type="dxa"/>
            <w:tcBorders>
              <w:top w:val="single" w:sz="4" w:space="0" w:color="000001"/>
              <w:left w:val="single" w:sz="4" w:space="0" w:color="000001"/>
              <w:bottom w:val="single" w:sz="4" w:space="0" w:color="000001"/>
              <w:right w:val="single" w:sz="4" w:space="0" w:color="000001"/>
            </w:tcBorders>
            <w:shd w:val="clear" w:color="auto" w:fill="FFFFFF"/>
            <w:hideMark/>
          </w:tcPr>
          <w:p w:rsidR="00ED7F17" w:rsidRDefault="00ED7F17">
            <w:pPr>
              <w:widowControl w:val="0"/>
              <w:jc w:val="center"/>
              <w:rPr>
                <w:rFonts w:ascii="Arial" w:eastAsia="Arial" w:hAnsi="Arial" w:cs="Arial"/>
                <w:sz w:val="22"/>
                <w:szCs w:val="22"/>
              </w:rPr>
            </w:pPr>
            <w:r>
              <w:rPr>
                <w:color w:val="000000"/>
                <w:kern w:val="2"/>
                <w:lang w:eastAsia="ru-RU" w:bidi="hi-IN"/>
              </w:rPr>
              <w:t>9</w:t>
            </w:r>
          </w:p>
        </w:tc>
      </w:tr>
      <w:tr w:rsidR="00ED7F17" w:rsidTr="00ED7F17">
        <w:trPr>
          <w:trHeight w:val="315"/>
        </w:trPr>
        <w:tc>
          <w:tcPr>
            <w:tcW w:w="1095" w:type="dxa"/>
            <w:tcBorders>
              <w:top w:val="single" w:sz="4" w:space="0" w:color="000001"/>
              <w:left w:val="single" w:sz="4" w:space="0" w:color="000001"/>
              <w:bottom w:val="single" w:sz="4" w:space="0" w:color="000001"/>
              <w:right w:val="nil"/>
            </w:tcBorders>
            <w:shd w:val="clear" w:color="auto" w:fill="FFFFFF"/>
            <w:hideMark/>
          </w:tcPr>
          <w:p w:rsidR="00ED7F17" w:rsidRDefault="00ED7F17">
            <w:pPr>
              <w:widowControl w:val="0"/>
              <w:rPr>
                <w:rFonts w:ascii="Arial" w:eastAsia="Arial" w:hAnsi="Arial" w:cs="Arial"/>
                <w:sz w:val="22"/>
                <w:szCs w:val="22"/>
              </w:rPr>
            </w:pPr>
            <w:r>
              <w:rPr>
                <w:color w:val="000000"/>
                <w:kern w:val="2"/>
                <w:lang w:eastAsia="ru-RU" w:bidi="hi-IN"/>
              </w:rPr>
              <w:t>8.</w:t>
            </w:r>
          </w:p>
        </w:tc>
        <w:tc>
          <w:tcPr>
            <w:tcW w:w="4617" w:type="dxa"/>
            <w:tcBorders>
              <w:top w:val="single" w:sz="4" w:space="0" w:color="000001"/>
              <w:left w:val="single" w:sz="4" w:space="0" w:color="000001"/>
              <w:bottom w:val="single" w:sz="4" w:space="0" w:color="000001"/>
              <w:right w:val="nil"/>
            </w:tcBorders>
            <w:shd w:val="clear" w:color="auto" w:fill="FFFFFF"/>
            <w:hideMark/>
          </w:tcPr>
          <w:p w:rsidR="00ED7F17" w:rsidRDefault="00ED7F17">
            <w:pPr>
              <w:widowControl w:val="0"/>
              <w:rPr>
                <w:rFonts w:ascii="Arial" w:eastAsia="Arial" w:hAnsi="Arial" w:cs="Arial"/>
                <w:sz w:val="22"/>
                <w:szCs w:val="22"/>
              </w:rPr>
            </w:pPr>
            <w:r>
              <w:rPr>
                <w:color w:val="000000"/>
                <w:kern w:val="2"/>
                <w:lang w:eastAsia="ru-RU" w:bidi="hi-IN"/>
              </w:rPr>
              <w:t xml:space="preserve">Логопед </w:t>
            </w:r>
          </w:p>
        </w:tc>
        <w:tc>
          <w:tcPr>
            <w:tcW w:w="1378" w:type="dxa"/>
            <w:tcBorders>
              <w:top w:val="single" w:sz="4" w:space="0" w:color="000001"/>
              <w:left w:val="single" w:sz="4" w:space="0" w:color="000001"/>
              <w:bottom w:val="single" w:sz="4" w:space="0" w:color="000001"/>
              <w:right w:val="nil"/>
            </w:tcBorders>
            <w:shd w:val="clear" w:color="auto" w:fill="FFFFFF"/>
            <w:hideMark/>
          </w:tcPr>
          <w:p w:rsidR="00ED7F17" w:rsidRDefault="00ED7F17">
            <w:pPr>
              <w:widowControl w:val="0"/>
              <w:jc w:val="center"/>
              <w:rPr>
                <w:rFonts w:ascii="Arial" w:eastAsia="Arial" w:hAnsi="Arial" w:cs="Arial"/>
                <w:sz w:val="22"/>
                <w:szCs w:val="22"/>
              </w:rPr>
            </w:pPr>
            <w:r>
              <w:rPr>
                <w:color w:val="000000"/>
                <w:kern w:val="2"/>
                <w:lang w:eastAsia="ru-RU" w:bidi="hi-IN"/>
              </w:rPr>
              <w:t>9</w:t>
            </w:r>
          </w:p>
        </w:tc>
        <w:tc>
          <w:tcPr>
            <w:tcW w:w="2329" w:type="dxa"/>
            <w:tcBorders>
              <w:top w:val="single" w:sz="4" w:space="0" w:color="000001"/>
              <w:left w:val="single" w:sz="4" w:space="0" w:color="000001"/>
              <w:bottom w:val="single" w:sz="4" w:space="0" w:color="000001"/>
              <w:right w:val="single" w:sz="4" w:space="0" w:color="000001"/>
            </w:tcBorders>
            <w:shd w:val="clear" w:color="auto" w:fill="FFFFFF"/>
            <w:hideMark/>
          </w:tcPr>
          <w:p w:rsidR="00ED7F17" w:rsidRDefault="00ED7F17">
            <w:pPr>
              <w:widowControl w:val="0"/>
              <w:jc w:val="center"/>
              <w:rPr>
                <w:rFonts w:ascii="Arial" w:eastAsia="Arial" w:hAnsi="Arial" w:cs="Arial"/>
                <w:sz w:val="22"/>
                <w:szCs w:val="22"/>
              </w:rPr>
            </w:pPr>
            <w:r>
              <w:rPr>
                <w:color w:val="000000"/>
                <w:kern w:val="2"/>
                <w:lang w:eastAsia="ru-RU" w:bidi="hi-IN"/>
              </w:rPr>
              <w:t>9</w:t>
            </w:r>
          </w:p>
        </w:tc>
      </w:tr>
      <w:tr w:rsidR="00ED7F17" w:rsidTr="00ED7F17">
        <w:trPr>
          <w:trHeight w:val="315"/>
        </w:trPr>
        <w:tc>
          <w:tcPr>
            <w:tcW w:w="1095" w:type="dxa"/>
            <w:tcBorders>
              <w:top w:val="single" w:sz="4" w:space="0" w:color="000001"/>
              <w:left w:val="single" w:sz="4" w:space="0" w:color="000001"/>
              <w:bottom w:val="single" w:sz="4" w:space="0" w:color="000001"/>
              <w:right w:val="nil"/>
            </w:tcBorders>
            <w:shd w:val="clear" w:color="auto" w:fill="FFFFFF"/>
            <w:hideMark/>
          </w:tcPr>
          <w:p w:rsidR="00ED7F17" w:rsidRDefault="00ED7F17">
            <w:pPr>
              <w:widowControl w:val="0"/>
              <w:rPr>
                <w:rFonts w:ascii="Arial" w:eastAsia="Arial" w:hAnsi="Arial" w:cs="Arial"/>
                <w:sz w:val="22"/>
                <w:szCs w:val="22"/>
              </w:rPr>
            </w:pPr>
            <w:r>
              <w:rPr>
                <w:color w:val="000000"/>
                <w:kern w:val="2"/>
                <w:lang w:eastAsia="ru-RU" w:bidi="hi-IN"/>
              </w:rPr>
              <w:t>9.</w:t>
            </w:r>
          </w:p>
        </w:tc>
        <w:tc>
          <w:tcPr>
            <w:tcW w:w="4617" w:type="dxa"/>
            <w:tcBorders>
              <w:top w:val="single" w:sz="4" w:space="0" w:color="000001"/>
              <w:left w:val="single" w:sz="4" w:space="0" w:color="000001"/>
              <w:bottom w:val="single" w:sz="4" w:space="0" w:color="000001"/>
              <w:right w:val="nil"/>
            </w:tcBorders>
            <w:shd w:val="clear" w:color="auto" w:fill="FFFFFF"/>
            <w:hideMark/>
          </w:tcPr>
          <w:p w:rsidR="00ED7F17" w:rsidRDefault="00ED7F17">
            <w:pPr>
              <w:widowControl w:val="0"/>
              <w:rPr>
                <w:rFonts w:ascii="Arial" w:eastAsia="Arial" w:hAnsi="Arial" w:cs="Arial"/>
                <w:sz w:val="22"/>
                <w:szCs w:val="22"/>
              </w:rPr>
            </w:pPr>
            <w:r>
              <w:rPr>
                <w:color w:val="000000"/>
                <w:kern w:val="2"/>
                <w:lang w:eastAsia="ru-RU" w:bidi="hi-IN"/>
              </w:rPr>
              <w:t>Инструктор ЛФК</w:t>
            </w:r>
          </w:p>
        </w:tc>
        <w:tc>
          <w:tcPr>
            <w:tcW w:w="1378" w:type="dxa"/>
            <w:tcBorders>
              <w:top w:val="single" w:sz="4" w:space="0" w:color="000001"/>
              <w:left w:val="single" w:sz="4" w:space="0" w:color="000001"/>
              <w:bottom w:val="single" w:sz="4" w:space="0" w:color="000001"/>
              <w:right w:val="nil"/>
            </w:tcBorders>
            <w:shd w:val="clear" w:color="auto" w:fill="FFFFFF"/>
            <w:hideMark/>
          </w:tcPr>
          <w:p w:rsidR="00ED7F17" w:rsidRDefault="00ED7F17">
            <w:pPr>
              <w:widowControl w:val="0"/>
              <w:jc w:val="center"/>
              <w:rPr>
                <w:rFonts w:ascii="Arial" w:eastAsia="Arial" w:hAnsi="Arial" w:cs="Arial"/>
                <w:sz w:val="22"/>
                <w:szCs w:val="22"/>
              </w:rPr>
            </w:pPr>
            <w:r>
              <w:rPr>
                <w:color w:val="000000"/>
                <w:kern w:val="2"/>
                <w:lang w:eastAsia="ru-RU" w:bidi="hi-IN"/>
              </w:rPr>
              <w:t>9</w:t>
            </w:r>
          </w:p>
        </w:tc>
        <w:tc>
          <w:tcPr>
            <w:tcW w:w="2329" w:type="dxa"/>
            <w:tcBorders>
              <w:top w:val="single" w:sz="4" w:space="0" w:color="000001"/>
              <w:left w:val="single" w:sz="4" w:space="0" w:color="000001"/>
              <w:bottom w:val="single" w:sz="4" w:space="0" w:color="000001"/>
              <w:right w:val="single" w:sz="4" w:space="0" w:color="000001"/>
            </w:tcBorders>
            <w:shd w:val="clear" w:color="auto" w:fill="FFFFFF"/>
            <w:hideMark/>
          </w:tcPr>
          <w:p w:rsidR="00ED7F17" w:rsidRDefault="00ED7F17">
            <w:pPr>
              <w:widowControl w:val="0"/>
              <w:jc w:val="center"/>
              <w:rPr>
                <w:rFonts w:ascii="Arial" w:eastAsia="Arial" w:hAnsi="Arial" w:cs="Arial"/>
                <w:sz w:val="22"/>
                <w:szCs w:val="22"/>
              </w:rPr>
            </w:pPr>
            <w:r>
              <w:rPr>
                <w:color w:val="000000"/>
                <w:kern w:val="2"/>
                <w:lang w:eastAsia="ru-RU" w:bidi="hi-IN"/>
              </w:rPr>
              <w:t>9</w:t>
            </w:r>
          </w:p>
        </w:tc>
      </w:tr>
    </w:tbl>
    <w:p w:rsidR="00ED7F17" w:rsidRDefault="00ED7F17" w:rsidP="00ED7F17">
      <w:pPr>
        <w:jc w:val="both"/>
        <w:textAlignment w:val="baseline"/>
        <w:rPr>
          <w:rFonts w:eastAsia="Andale Sans UI"/>
          <w:bCs/>
          <w:color w:val="000000"/>
          <w:spacing w:val="2"/>
          <w:kern w:val="2"/>
        </w:rPr>
      </w:pPr>
    </w:p>
    <w:p w:rsidR="00ED7F17" w:rsidRDefault="00ED7F17" w:rsidP="00ED7F17">
      <w:pPr>
        <w:widowControl w:val="0"/>
        <w:ind w:firstLine="743"/>
        <w:jc w:val="both"/>
        <w:textAlignment w:val="baseline"/>
        <w:rPr>
          <w:rFonts w:ascii="Arial" w:eastAsia="Arial" w:hAnsi="Arial" w:cs="Arial"/>
          <w:sz w:val="22"/>
          <w:szCs w:val="22"/>
        </w:rPr>
      </w:pPr>
      <w:r>
        <w:rPr>
          <w:rFonts w:eastAsia="Andale Sans UI"/>
          <w:color w:val="000000"/>
          <w:kern w:val="2"/>
          <w:shd w:val="clear" w:color="auto" w:fill="FFFFFF"/>
        </w:rPr>
        <w:t>Одним из направлений развития службы реабилитации взрослому населению Астраханской области является реализация в 2019-2024 годах мероприятий в рамках регионального проекта: «Борьба с сердечно-сосудистыми заболеваниями».</w:t>
      </w:r>
    </w:p>
    <w:p w:rsidR="00ED7F17" w:rsidRDefault="00ED7F17" w:rsidP="00ED7F17">
      <w:pPr>
        <w:widowControl w:val="0"/>
        <w:ind w:firstLine="743"/>
        <w:jc w:val="both"/>
        <w:textAlignment w:val="baseline"/>
      </w:pPr>
      <w:r>
        <w:rPr>
          <w:rFonts w:eastAsia="Andale Sans UI"/>
          <w:color w:val="000000"/>
          <w:kern w:val="2"/>
          <w:shd w:val="clear" w:color="auto" w:fill="FFFFFF"/>
        </w:rPr>
        <w:t>В ходе планировании мероприятий по реабилитации предусмотрены мероприятия по поэтапному внедрению актуальных клинических рекомендаций по реабилитации с учетом возможности территориальной программы государственных гарантий бесплатного оказания гражданам медицинской помощи.</w:t>
      </w:r>
    </w:p>
    <w:p w:rsidR="00ED7F17" w:rsidRDefault="00ED7F17" w:rsidP="00ED7F17">
      <w:pPr>
        <w:widowControl w:val="0"/>
        <w:ind w:firstLine="743"/>
        <w:jc w:val="both"/>
        <w:textAlignment w:val="baseline"/>
      </w:pPr>
      <w:r>
        <w:rPr>
          <w:rFonts w:eastAsia="Andale Sans UI"/>
          <w:color w:val="000000"/>
          <w:kern w:val="2"/>
          <w:shd w:val="clear" w:color="auto" w:fill="FFFFFF"/>
        </w:rPr>
        <w:t>Особое внимание уделено пациентам, перенесшим острый коронарный синдром и/или острое нарушение мозгового кровообращения, а также пациентам, которым оказана высокотехнологичная помощь, независимо от места ее оказания. При формулировке мероприятий учитывалась необходимость формирования преемственности лечения стационарного и амбулаторного звена специализированной медицинской помощи, взаимодействие с профильными национальными медицинскими исследовательскими центрами.</w:t>
      </w:r>
    </w:p>
    <w:p w:rsidR="00ED7F17" w:rsidRDefault="00ED7F17" w:rsidP="00ED7F17">
      <w:pPr>
        <w:widowControl w:val="0"/>
        <w:ind w:firstLine="743"/>
        <w:jc w:val="both"/>
        <w:textAlignment w:val="baseline"/>
      </w:pPr>
      <w:r>
        <w:rPr>
          <w:rFonts w:eastAsia="Andale Sans UI"/>
          <w:color w:val="000000"/>
          <w:kern w:val="2"/>
          <w:shd w:val="clear" w:color="auto" w:fill="FFFFFF"/>
        </w:rPr>
        <w:t>В рамках вышеуказанных мероприятий предусмотрено:</w:t>
      </w:r>
    </w:p>
    <w:p w:rsidR="00ED7F17" w:rsidRDefault="00ED7F17" w:rsidP="00ED7F17">
      <w:pPr>
        <w:widowControl w:val="0"/>
        <w:ind w:firstLine="709"/>
        <w:jc w:val="both"/>
        <w:textAlignment w:val="baseline"/>
      </w:pPr>
      <w:r>
        <w:rPr>
          <w:rFonts w:eastAsia="Andale Sans UI"/>
          <w:color w:val="000000"/>
          <w:kern w:val="2"/>
          <w:shd w:val="clear" w:color="auto" w:fill="FFFFFF"/>
        </w:rPr>
        <w:t>- разработка идеологии и программ реабилитации больных с перенесенным острым нарушением мозгового кровообращения и острым коронарным синдромом.</w:t>
      </w:r>
    </w:p>
    <w:p w:rsidR="00ED7F17" w:rsidRDefault="00ED7F17" w:rsidP="00ED7F17">
      <w:pPr>
        <w:widowControl w:val="0"/>
        <w:spacing w:line="252" w:lineRule="auto"/>
        <w:ind w:firstLine="709"/>
        <w:jc w:val="both"/>
        <w:textAlignment w:val="baseline"/>
      </w:pPr>
      <w:r>
        <w:rPr>
          <w:rFonts w:eastAsia="Andale Sans UI"/>
          <w:color w:val="000000"/>
          <w:kern w:val="2"/>
          <w:shd w:val="clear" w:color="auto" w:fill="FFFFFF"/>
        </w:rPr>
        <w:t>- увеличение финансирования для приобретения необходимого оборудования, обучения персонала.</w:t>
      </w:r>
    </w:p>
    <w:p w:rsidR="00ED7F17" w:rsidRDefault="00ED7F17" w:rsidP="00ED7F17">
      <w:pPr>
        <w:widowControl w:val="0"/>
        <w:spacing w:line="252" w:lineRule="auto"/>
        <w:ind w:firstLine="709"/>
        <w:jc w:val="both"/>
        <w:textAlignment w:val="baseline"/>
      </w:pPr>
      <w:r>
        <w:rPr>
          <w:rFonts w:eastAsia="Andale Sans UI"/>
          <w:color w:val="000000"/>
          <w:kern w:val="2"/>
          <w:shd w:val="clear" w:color="auto" w:fill="FFFFFF"/>
        </w:rPr>
        <w:t>- приобретение необходимого реабилитационного оборудования (в т.ч. физиотерапевтического, для ЛФК, массажа).</w:t>
      </w:r>
    </w:p>
    <w:p w:rsidR="00ED7F17" w:rsidRDefault="00ED7F17" w:rsidP="00ED7F17">
      <w:pPr>
        <w:widowControl w:val="0"/>
        <w:spacing w:line="252" w:lineRule="auto"/>
        <w:ind w:firstLine="567"/>
        <w:jc w:val="both"/>
        <w:textAlignment w:val="baseline"/>
      </w:pPr>
      <w:r>
        <w:rPr>
          <w:rFonts w:eastAsia="Andale Sans UI"/>
          <w:color w:val="000000"/>
          <w:kern w:val="2"/>
          <w:shd w:val="clear" w:color="auto" w:fill="FFFFFF"/>
        </w:rPr>
        <w:t>В ходе реализации программы «Борьба с сердечно-сосудистыми заболеваниями» планируется достичь следующих показателей:</w:t>
      </w:r>
    </w:p>
    <w:p w:rsidR="00ED7F17" w:rsidRDefault="00ED7F17" w:rsidP="00ED7F17">
      <w:pPr>
        <w:widowControl w:val="0"/>
        <w:spacing w:line="252" w:lineRule="auto"/>
        <w:ind w:firstLine="567"/>
        <w:jc w:val="both"/>
        <w:textAlignment w:val="baseline"/>
      </w:pPr>
      <w:r>
        <w:rPr>
          <w:rFonts w:eastAsia="Andale Sans UI"/>
          <w:color w:val="000000"/>
          <w:kern w:val="2"/>
          <w:shd w:val="clear" w:color="auto" w:fill="FFFFFF"/>
        </w:rPr>
        <w:t>- охват реабилитацией не менее 70% больных, перенесших острый коронарный синдром, кардиохирургические вмешательства, лечение по поводу декомпенсации хронической сердечной недостаточности имеющих реабилитационный потенциал;</w:t>
      </w:r>
    </w:p>
    <w:p w:rsidR="00ED7F17" w:rsidRDefault="00ED7F17" w:rsidP="00ED7F17">
      <w:pPr>
        <w:widowControl w:val="0"/>
        <w:spacing w:line="252" w:lineRule="auto"/>
        <w:ind w:firstLine="567"/>
        <w:jc w:val="both"/>
        <w:textAlignment w:val="baseline"/>
      </w:pPr>
      <w:r>
        <w:rPr>
          <w:rFonts w:eastAsia="Andale Sans UI"/>
          <w:color w:val="000000"/>
          <w:kern w:val="2"/>
          <w:shd w:val="clear" w:color="auto" w:fill="FFFFFF"/>
        </w:rPr>
        <w:t>- охват реабилитацией не менее 90 % больных, перенесших острое нарушение мозгового кровообращения имеющих реабилитационный потенциал.</w:t>
      </w:r>
    </w:p>
    <w:p w:rsidR="00ED7F17" w:rsidRDefault="00ED7F17" w:rsidP="00ED7F17">
      <w:pPr>
        <w:widowControl w:val="0"/>
        <w:spacing w:line="252" w:lineRule="auto"/>
        <w:ind w:firstLine="567"/>
        <w:jc w:val="both"/>
        <w:textAlignment w:val="baseline"/>
      </w:pPr>
      <w:r>
        <w:rPr>
          <w:rFonts w:eastAsia="Andale Sans UI"/>
          <w:color w:val="000000"/>
          <w:kern w:val="2"/>
          <w:shd w:val="clear" w:color="auto" w:fill="FFFFFF"/>
        </w:rPr>
        <w:t>Проведение реабилитации больных, перенесших острый коронарный синдром и/или острое нарушение мозгового кровообращения будет организовано в амбулаторно-поликлинических, санаторно- курортных учреждениях, реабилитационных центрах и в отделениях реабилитации лечебных учреждений с соблюдением этапности реабилитации.</w:t>
      </w:r>
    </w:p>
    <w:p w:rsidR="00ED7F17" w:rsidRDefault="00ED7F17" w:rsidP="00ED7F17">
      <w:pPr>
        <w:pStyle w:val="1f"/>
        <w:ind w:firstLine="397"/>
        <w:jc w:val="both"/>
        <w:rPr>
          <w:rFonts w:ascii="Times New Roman" w:eastAsia="Calibri" w:hAnsi="Times New Roman" w:cs="Times New Roman"/>
          <w:color w:val="000000"/>
          <w:kern w:val="2"/>
          <w:sz w:val="28"/>
          <w:szCs w:val="28"/>
        </w:rPr>
      </w:pPr>
    </w:p>
    <w:p w:rsidR="00ED7F17" w:rsidRDefault="00ED7F17" w:rsidP="00ED7F17">
      <w:pPr>
        <w:jc w:val="center"/>
        <w:rPr>
          <w:rFonts w:ascii="Arial" w:eastAsia="Arial" w:hAnsi="Arial" w:cs="Arial"/>
          <w:sz w:val="22"/>
          <w:szCs w:val="22"/>
        </w:rPr>
      </w:pPr>
      <w:r>
        <w:rPr>
          <w:b/>
          <w:bCs/>
          <w:color w:val="000000"/>
        </w:rPr>
        <w:t>Паллиативная медицинская помощь на территории Астраханской области</w:t>
      </w:r>
    </w:p>
    <w:p w:rsidR="00ED7F17" w:rsidRDefault="00ED7F17" w:rsidP="00ED7F17">
      <w:pPr>
        <w:jc w:val="center"/>
        <w:rPr>
          <w:b/>
          <w:bCs/>
          <w:color w:val="000000"/>
        </w:rPr>
      </w:pPr>
    </w:p>
    <w:p w:rsidR="00ED7F17" w:rsidRDefault="00ED7F17" w:rsidP="00ED7F17">
      <w:pPr>
        <w:ind w:firstLine="709"/>
        <w:jc w:val="both"/>
        <w:rPr>
          <w:rFonts w:ascii="Arial" w:hAnsi="Arial" w:cs="Arial"/>
          <w:sz w:val="22"/>
          <w:szCs w:val="22"/>
        </w:rPr>
      </w:pPr>
      <w:r>
        <w:t>Паллиативная медицинская помощь населению Астраханской области оказывается в амбулаторных и стационарных условиях.</w:t>
      </w:r>
      <w:r>
        <w:rPr>
          <w:color w:val="auto"/>
          <w:sz w:val="28"/>
          <w:szCs w:val="28"/>
          <w:lang w:eastAsia="ar-SA"/>
        </w:rPr>
        <w:t xml:space="preserve"> </w:t>
      </w:r>
      <w:r>
        <w:rPr>
          <w:color w:val="auto"/>
          <w:lang w:eastAsia="ar-SA"/>
        </w:rPr>
        <w:t xml:space="preserve">Для оказания паллиативной помощи в амбулаторных условиях открыто 18 кабинетов паллиативной помощи в 13-и медицинских организациях, создано 12 патронажных выездных бригад в 11 медицинских организациях, проучено 27 врачей и 22 медицинские сестры по профилю паллиативная помощь. </w:t>
      </w:r>
    </w:p>
    <w:p w:rsidR="00ED7F17" w:rsidRDefault="00ED7F17" w:rsidP="00ED7F17">
      <w:pPr>
        <w:ind w:right="-1" w:firstLine="709"/>
        <w:contextualSpacing/>
        <w:rPr>
          <w:color w:val="auto"/>
          <w:lang w:eastAsia="ar-SA"/>
        </w:rPr>
      </w:pPr>
    </w:p>
    <w:p w:rsidR="00ED7F17" w:rsidRDefault="00ED7F17" w:rsidP="00ED7F17">
      <w:pPr>
        <w:jc w:val="center"/>
        <w:rPr>
          <w:rFonts w:ascii="Arial" w:eastAsia="Arial" w:hAnsi="Arial" w:cs="Arial"/>
          <w:sz w:val="22"/>
          <w:szCs w:val="22"/>
        </w:rPr>
      </w:pPr>
      <w:r>
        <w:rPr>
          <w:b/>
          <w:bCs/>
        </w:rPr>
        <w:t>Ресурсы и структура медицинских</w:t>
      </w:r>
      <w:r>
        <w:rPr>
          <w:b/>
        </w:rPr>
        <w:t xml:space="preserve"> организаций, оказывающих паллиативную медицинскую помощь </w:t>
      </w:r>
    </w:p>
    <w:tbl>
      <w:tblPr>
        <w:tblW w:w="0" w:type="auto"/>
        <w:tblInd w:w="-30" w:type="dxa"/>
        <w:tblLayout w:type="fixed"/>
        <w:tblCellMar>
          <w:left w:w="88" w:type="dxa"/>
        </w:tblCellMar>
        <w:tblLook w:val="04A0" w:firstRow="1" w:lastRow="0" w:firstColumn="1" w:lastColumn="0" w:noHBand="0" w:noVBand="1"/>
      </w:tblPr>
      <w:tblGrid>
        <w:gridCol w:w="6011"/>
        <w:gridCol w:w="1931"/>
        <w:gridCol w:w="1952"/>
      </w:tblGrid>
      <w:tr w:rsidR="00ED7F17" w:rsidTr="00ED7F17">
        <w:trPr>
          <w:trHeight w:val="315"/>
        </w:trPr>
        <w:tc>
          <w:tcPr>
            <w:tcW w:w="6011" w:type="dxa"/>
            <w:vMerge w:val="restart"/>
            <w:tcBorders>
              <w:top w:val="single" w:sz="8" w:space="0" w:color="00000A"/>
              <w:left w:val="single" w:sz="8" w:space="0" w:color="00000A"/>
              <w:bottom w:val="single" w:sz="8" w:space="0" w:color="000001"/>
              <w:right w:val="nil"/>
            </w:tcBorders>
            <w:shd w:val="clear" w:color="auto" w:fill="FFFFFF"/>
            <w:vAlign w:val="center"/>
            <w:hideMark/>
          </w:tcPr>
          <w:p w:rsidR="00ED7F17" w:rsidRDefault="00ED7F17">
            <w:pPr>
              <w:spacing w:line="276" w:lineRule="auto"/>
              <w:jc w:val="center"/>
              <w:rPr>
                <w:rFonts w:ascii="Arial" w:eastAsia="Arial" w:hAnsi="Arial" w:cs="Arial"/>
                <w:sz w:val="22"/>
                <w:szCs w:val="22"/>
              </w:rPr>
            </w:pPr>
            <w:r>
              <w:rPr>
                <w:sz w:val="20"/>
                <w:szCs w:val="20"/>
              </w:rPr>
              <w:t>Наименование показателя</w:t>
            </w:r>
          </w:p>
        </w:tc>
        <w:tc>
          <w:tcPr>
            <w:tcW w:w="3883" w:type="dxa"/>
            <w:gridSpan w:val="2"/>
            <w:tcBorders>
              <w:top w:val="single" w:sz="8" w:space="0" w:color="00000A"/>
              <w:left w:val="single" w:sz="8" w:space="0" w:color="00000A"/>
              <w:bottom w:val="single" w:sz="8" w:space="0" w:color="00000A"/>
              <w:right w:val="single" w:sz="8" w:space="0" w:color="000001"/>
            </w:tcBorders>
            <w:shd w:val="clear" w:color="auto" w:fill="FFFFFF"/>
            <w:vAlign w:val="bottom"/>
            <w:hideMark/>
          </w:tcPr>
          <w:p w:rsidR="00ED7F17" w:rsidRDefault="00ED7F17">
            <w:pPr>
              <w:spacing w:line="276" w:lineRule="auto"/>
              <w:jc w:val="center"/>
              <w:rPr>
                <w:rFonts w:ascii="Arial" w:eastAsia="Arial" w:hAnsi="Arial" w:cs="Arial"/>
                <w:sz w:val="22"/>
                <w:szCs w:val="22"/>
              </w:rPr>
            </w:pPr>
            <w:r>
              <w:rPr>
                <w:sz w:val="20"/>
                <w:szCs w:val="20"/>
              </w:rPr>
              <w:t>Количество, ед</w:t>
            </w:r>
          </w:p>
        </w:tc>
      </w:tr>
      <w:tr w:rsidR="00ED7F17" w:rsidTr="00ED7F17">
        <w:trPr>
          <w:trHeight w:val="315"/>
        </w:trPr>
        <w:tc>
          <w:tcPr>
            <w:tcW w:w="6011" w:type="dxa"/>
            <w:vMerge/>
            <w:tcBorders>
              <w:top w:val="single" w:sz="8" w:space="0" w:color="00000A"/>
              <w:left w:val="single" w:sz="8" w:space="0" w:color="00000A"/>
              <w:bottom w:val="single" w:sz="8" w:space="0" w:color="000001"/>
              <w:right w:val="nil"/>
            </w:tcBorders>
            <w:vAlign w:val="center"/>
            <w:hideMark/>
          </w:tcPr>
          <w:p w:rsidR="00ED7F17" w:rsidRDefault="00ED7F17">
            <w:pPr>
              <w:suppressAutoHyphens w:val="0"/>
              <w:rPr>
                <w:rFonts w:ascii="Arial" w:eastAsia="Arial" w:hAnsi="Arial" w:cs="Arial"/>
                <w:sz w:val="22"/>
                <w:szCs w:val="22"/>
              </w:rPr>
            </w:pPr>
          </w:p>
        </w:tc>
        <w:tc>
          <w:tcPr>
            <w:tcW w:w="1931" w:type="dxa"/>
            <w:tcBorders>
              <w:top w:val="single" w:sz="8" w:space="0" w:color="00000A"/>
              <w:left w:val="single" w:sz="8" w:space="0" w:color="00000A"/>
              <w:bottom w:val="single" w:sz="8" w:space="0" w:color="00000A"/>
              <w:right w:val="nil"/>
            </w:tcBorders>
            <w:shd w:val="clear" w:color="auto" w:fill="FFFFFF"/>
            <w:vAlign w:val="bottom"/>
            <w:hideMark/>
          </w:tcPr>
          <w:p w:rsidR="00ED7F17" w:rsidRDefault="00ED7F17">
            <w:pPr>
              <w:spacing w:line="276" w:lineRule="auto"/>
              <w:jc w:val="center"/>
              <w:rPr>
                <w:rFonts w:ascii="Arial" w:eastAsia="Arial" w:hAnsi="Arial" w:cs="Arial"/>
                <w:sz w:val="22"/>
                <w:szCs w:val="22"/>
              </w:rPr>
            </w:pPr>
            <w:r>
              <w:rPr>
                <w:sz w:val="20"/>
                <w:szCs w:val="20"/>
              </w:rPr>
              <w:t>Взрослых</w:t>
            </w:r>
          </w:p>
        </w:tc>
        <w:tc>
          <w:tcPr>
            <w:tcW w:w="1952" w:type="dxa"/>
            <w:tcBorders>
              <w:top w:val="single" w:sz="8" w:space="0" w:color="00000A"/>
              <w:left w:val="single" w:sz="8" w:space="0" w:color="00000A"/>
              <w:bottom w:val="single" w:sz="8" w:space="0" w:color="00000A"/>
              <w:right w:val="single" w:sz="8" w:space="0" w:color="00000A"/>
            </w:tcBorders>
            <w:shd w:val="clear" w:color="auto" w:fill="FFFFFF"/>
            <w:vAlign w:val="bottom"/>
            <w:hideMark/>
          </w:tcPr>
          <w:p w:rsidR="00ED7F17" w:rsidRDefault="00ED7F17">
            <w:pPr>
              <w:spacing w:line="276" w:lineRule="auto"/>
              <w:jc w:val="center"/>
              <w:rPr>
                <w:rFonts w:ascii="Arial" w:eastAsia="Arial" w:hAnsi="Arial" w:cs="Arial"/>
                <w:sz w:val="22"/>
                <w:szCs w:val="22"/>
              </w:rPr>
            </w:pPr>
            <w:r>
              <w:rPr>
                <w:sz w:val="20"/>
                <w:szCs w:val="20"/>
              </w:rPr>
              <w:t>Детских</w:t>
            </w:r>
          </w:p>
        </w:tc>
      </w:tr>
      <w:tr w:rsidR="00ED7F17" w:rsidTr="00ED7F17">
        <w:trPr>
          <w:trHeight w:val="300"/>
        </w:trPr>
        <w:tc>
          <w:tcPr>
            <w:tcW w:w="6011" w:type="dxa"/>
            <w:tcBorders>
              <w:top w:val="single" w:sz="8" w:space="0" w:color="00000A"/>
              <w:left w:val="single" w:sz="8" w:space="0" w:color="00000A"/>
              <w:bottom w:val="single" w:sz="8" w:space="0" w:color="00000A"/>
              <w:right w:val="nil"/>
            </w:tcBorders>
            <w:shd w:val="clear" w:color="auto" w:fill="FFFFFF"/>
            <w:vAlign w:val="center"/>
            <w:hideMark/>
          </w:tcPr>
          <w:p w:rsidR="00ED7F17" w:rsidRDefault="00ED7F17">
            <w:pPr>
              <w:spacing w:line="276" w:lineRule="auto"/>
              <w:jc w:val="center"/>
              <w:rPr>
                <w:rFonts w:ascii="Arial" w:eastAsia="Arial" w:hAnsi="Arial" w:cs="Arial"/>
                <w:sz w:val="22"/>
                <w:szCs w:val="22"/>
              </w:rPr>
            </w:pPr>
            <w:r>
              <w:rPr>
                <w:b/>
                <w:bCs/>
                <w:sz w:val="20"/>
                <w:szCs w:val="20"/>
              </w:rPr>
              <w:t>1</w:t>
            </w:r>
          </w:p>
        </w:tc>
        <w:tc>
          <w:tcPr>
            <w:tcW w:w="1931" w:type="dxa"/>
            <w:tcBorders>
              <w:top w:val="single" w:sz="8" w:space="0" w:color="00000A"/>
              <w:left w:val="single" w:sz="8" w:space="0" w:color="00000A"/>
              <w:bottom w:val="single" w:sz="8" w:space="0" w:color="00000A"/>
              <w:right w:val="nil"/>
            </w:tcBorders>
            <w:shd w:val="clear" w:color="auto" w:fill="FFFFFF"/>
            <w:vAlign w:val="center"/>
            <w:hideMark/>
          </w:tcPr>
          <w:p w:rsidR="00ED7F17" w:rsidRDefault="00ED7F17">
            <w:pPr>
              <w:spacing w:line="276" w:lineRule="auto"/>
              <w:jc w:val="center"/>
              <w:rPr>
                <w:rFonts w:ascii="Arial" w:eastAsia="Arial" w:hAnsi="Arial" w:cs="Arial"/>
                <w:sz w:val="22"/>
                <w:szCs w:val="22"/>
              </w:rPr>
            </w:pPr>
            <w:r>
              <w:rPr>
                <w:b/>
                <w:bCs/>
                <w:sz w:val="20"/>
                <w:szCs w:val="20"/>
              </w:rPr>
              <w:t>3</w:t>
            </w:r>
          </w:p>
        </w:tc>
        <w:tc>
          <w:tcPr>
            <w:tcW w:w="1952" w:type="dxa"/>
            <w:tcBorders>
              <w:top w:val="single" w:sz="8" w:space="0" w:color="00000A"/>
              <w:left w:val="single" w:sz="8" w:space="0" w:color="00000A"/>
              <w:bottom w:val="single" w:sz="8" w:space="0" w:color="00000A"/>
              <w:right w:val="single" w:sz="8" w:space="0" w:color="00000A"/>
            </w:tcBorders>
            <w:shd w:val="clear" w:color="auto" w:fill="FFFFFF"/>
            <w:vAlign w:val="center"/>
            <w:hideMark/>
          </w:tcPr>
          <w:p w:rsidR="00ED7F17" w:rsidRDefault="00ED7F17">
            <w:pPr>
              <w:spacing w:line="276" w:lineRule="auto"/>
              <w:jc w:val="center"/>
              <w:rPr>
                <w:rFonts w:ascii="Arial" w:eastAsia="Arial" w:hAnsi="Arial" w:cs="Arial"/>
                <w:sz w:val="22"/>
                <w:szCs w:val="22"/>
              </w:rPr>
            </w:pPr>
            <w:r>
              <w:rPr>
                <w:b/>
                <w:bCs/>
                <w:sz w:val="20"/>
                <w:szCs w:val="20"/>
              </w:rPr>
              <w:t>4</w:t>
            </w:r>
          </w:p>
        </w:tc>
      </w:tr>
      <w:tr w:rsidR="00ED7F17" w:rsidTr="00ED7F17">
        <w:trPr>
          <w:trHeight w:val="447"/>
        </w:trPr>
        <w:tc>
          <w:tcPr>
            <w:tcW w:w="6011" w:type="dxa"/>
            <w:tcBorders>
              <w:top w:val="single" w:sz="8" w:space="0" w:color="00000A"/>
              <w:left w:val="single" w:sz="8" w:space="0" w:color="00000A"/>
              <w:bottom w:val="single" w:sz="8" w:space="0" w:color="00000A"/>
              <w:right w:val="nil"/>
            </w:tcBorders>
            <w:shd w:val="clear" w:color="auto" w:fill="FFFFFF"/>
            <w:hideMark/>
          </w:tcPr>
          <w:p w:rsidR="00ED7F17" w:rsidRDefault="00ED7F17">
            <w:pPr>
              <w:spacing w:line="276" w:lineRule="auto"/>
              <w:rPr>
                <w:rFonts w:ascii="Arial" w:eastAsia="Arial" w:hAnsi="Arial" w:cs="Arial"/>
                <w:sz w:val="22"/>
                <w:szCs w:val="22"/>
              </w:rPr>
            </w:pPr>
            <w:r>
              <w:rPr>
                <w:sz w:val="20"/>
                <w:szCs w:val="20"/>
              </w:rPr>
              <w:t>Количество кабинетов паллиативной медицинской помощи</w:t>
            </w:r>
          </w:p>
        </w:tc>
        <w:tc>
          <w:tcPr>
            <w:tcW w:w="1931" w:type="dxa"/>
            <w:tcBorders>
              <w:top w:val="single" w:sz="8" w:space="0" w:color="00000A"/>
              <w:left w:val="single" w:sz="8" w:space="0" w:color="00000A"/>
              <w:bottom w:val="single" w:sz="8" w:space="0" w:color="00000A"/>
              <w:right w:val="nil"/>
            </w:tcBorders>
            <w:shd w:val="clear" w:color="auto" w:fill="FFFFFF"/>
            <w:vAlign w:val="center"/>
            <w:hideMark/>
          </w:tcPr>
          <w:p w:rsidR="00ED7F17" w:rsidRDefault="00ED7F17">
            <w:pPr>
              <w:spacing w:line="276" w:lineRule="auto"/>
              <w:jc w:val="center"/>
              <w:rPr>
                <w:rFonts w:ascii="Arial" w:eastAsia="Arial" w:hAnsi="Arial" w:cs="Arial"/>
                <w:sz w:val="22"/>
                <w:szCs w:val="22"/>
              </w:rPr>
            </w:pPr>
            <w:r>
              <w:rPr>
                <w:sz w:val="20"/>
                <w:szCs w:val="20"/>
              </w:rPr>
              <w:t>18</w:t>
            </w:r>
          </w:p>
        </w:tc>
        <w:tc>
          <w:tcPr>
            <w:tcW w:w="1952" w:type="dxa"/>
            <w:tcBorders>
              <w:top w:val="single" w:sz="8" w:space="0" w:color="00000A"/>
              <w:left w:val="single" w:sz="8" w:space="0" w:color="00000A"/>
              <w:bottom w:val="single" w:sz="8" w:space="0" w:color="00000A"/>
              <w:right w:val="single" w:sz="8" w:space="0" w:color="00000A"/>
            </w:tcBorders>
            <w:shd w:val="clear" w:color="auto" w:fill="FFFFFF"/>
            <w:vAlign w:val="center"/>
            <w:hideMark/>
          </w:tcPr>
          <w:p w:rsidR="00ED7F17" w:rsidRDefault="00ED7F17">
            <w:pPr>
              <w:spacing w:line="276" w:lineRule="auto"/>
              <w:jc w:val="center"/>
              <w:rPr>
                <w:rFonts w:ascii="Arial" w:eastAsia="Arial" w:hAnsi="Arial" w:cs="Arial"/>
                <w:sz w:val="22"/>
                <w:szCs w:val="22"/>
              </w:rPr>
            </w:pPr>
            <w:r>
              <w:rPr>
                <w:sz w:val="20"/>
                <w:szCs w:val="20"/>
              </w:rPr>
              <w:t>X</w:t>
            </w:r>
          </w:p>
        </w:tc>
      </w:tr>
      <w:tr w:rsidR="00ED7F17" w:rsidTr="00ED7F17">
        <w:trPr>
          <w:trHeight w:val="527"/>
        </w:trPr>
        <w:tc>
          <w:tcPr>
            <w:tcW w:w="6011" w:type="dxa"/>
            <w:tcBorders>
              <w:top w:val="single" w:sz="8" w:space="0" w:color="00000A"/>
              <w:left w:val="single" w:sz="8" w:space="0" w:color="00000A"/>
              <w:bottom w:val="single" w:sz="8" w:space="0" w:color="00000A"/>
              <w:right w:val="nil"/>
            </w:tcBorders>
            <w:shd w:val="clear" w:color="auto" w:fill="FFFFFF"/>
            <w:vAlign w:val="bottom"/>
            <w:hideMark/>
          </w:tcPr>
          <w:p w:rsidR="00ED7F17" w:rsidRDefault="00ED7F17">
            <w:pPr>
              <w:spacing w:line="276" w:lineRule="auto"/>
              <w:rPr>
                <w:rFonts w:ascii="Arial" w:eastAsia="Arial" w:hAnsi="Arial" w:cs="Arial"/>
                <w:sz w:val="22"/>
                <w:szCs w:val="22"/>
              </w:rPr>
            </w:pPr>
            <w:r>
              <w:rPr>
                <w:sz w:val="20"/>
                <w:szCs w:val="20"/>
              </w:rPr>
              <w:t>Количество выездных патронажных служб паллиативной медицинской помощи</w:t>
            </w:r>
          </w:p>
        </w:tc>
        <w:tc>
          <w:tcPr>
            <w:tcW w:w="1931" w:type="dxa"/>
            <w:tcBorders>
              <w:top w:val="single" w:sz="8" w:space="0" w:color="00000A"/>
              <w:left w:val="single" w:sz="8" w:space="0" w:color="00000A"/>
              <w:bottom w:val="single" w:sz="8" w:space="0" w:color="00000A"/>
              <w:right w:val="nil"/>
            </w:tcBorders>
            <w:shd w:val="clear" w:color="auto" w:fill="FFFFFF"/>
            <w:vAlign w:val="center"/>
            <w:hideMark/>
          </w:tcPr>
          <w:p w:rsidR="00ED7F17" w:rsidRDefault="00ED7F17">
            <w:pPr>
              <w:spacing w:line="276" w:lineRule="auto"/>
              <w:jc w:val="center"/>
              <w:rPr>
                <w:rFonts w:ascii="Arial" w:eastAsia="Arial" w:hAnsi="Arial" w:cs="Arial"/>
                <w:sz w:val="22"/>
                <w:szCs w:val="22"/>
              </w:rPr>
            </w:pPr>
            <w:r>
              <w:rPr>
                <w:sz w:val="20"/>
                <w:szCs w:val="20"/>
              </w:rPr>
              <w:t>1</w:t>
            </w:r>
          </w:p>
        </w:tc>
        <w:tc>
          <w:tcPr>
            <w:tcW w:w="1952" w:type="dxa"/>
            <w:tcBorders>
              <w:top w:val="single" w:sz="8" w:space="0" w:color="00000A"/>
              <w:left w:val="single" w:sz="8" w:space="0" w:color="00000A"/>
              <w:bottom w:val="single" w:sz="8" w:space="0" w:color="00000A"/>
              <w:right w:val="single" w:sz="8" w:space="0" w:color="00000A"/>
            </w:tcBorders>
            <w:shd w:val="clear" w:color="auto" w:fill="FFFFFF"/>
            <w:vAlign w:val="center"/>
            <w:hideMark/>
          </w:tcPr>
          <w:p w:rsidR="00ED7F17" w:rsidRDefault="00ED7F17">
            <w:pPr>
              <w:spacing w:line="276" w:lineRule="auto"/>
              <w:ind w:left="-63"/>
              <w:jc w:val="center"/>
              <w:rPr>
                <w:rFonts w:ascii="Arial" w:eastAsia="Arial" w:hAnsi="Arial" w:cs="Arial"/>
                <w:sz w:val="22"/>
                <w:szCs w:val="22"/>
              </w:rPr>
            </w:pPr>
            <w:r>
              <w:rPr>
                <w:sz w:val="20"/>
                <w:szCs w:val="20"/>
              </w:rPr>
              <w:t>1</w:t>
            </w:r>
          </w:p>
        </w:tc>
      </w:tr>
      <w:tr w:rsidR="00ED7F17" w:rsidTr="00ED7F17">
        <w:trPr>
          <w:trHeight w:val="315"/>
        </w:trPr>
        <w:tc>
          <w:tcPr>
            <w:tcW w:w="6011" w:type="dxa"/>
            <w:tcBorders>
              <w:top w:val="single" w:sz="8" w:space="0" w:color="00000A"/>
              <w:left w:val="single" w:sz="8" w:space="0" w:color="00000A"/>
              <w:bottom w:val="single" w:sz="8" w:space="0" w:color="00000A"/>
              <w:right w:val="nil"/>
            </w:tcBorders>
            <w:shd w:val="clear" w:color="auto" w:fill="FFFFFF"/>
            <w:vAlign w:val="bottom"/>
            <w:hideMark/>
          </w:tcPr>
          <w:p w:rsidR="00ED7F17" w:rsidRDefault="00ED7F17">
            <w:pPr>
              <w:spacing w:line="276" w:lineRule="auto"/>
              <w:rPr>
                <w:rFonts w:ascii="Arial" w:eastAsia="Arial" w:hAnsi="Arial" w:cs="Arial"/>
                <w:sz w:val="22"/>
                <w:szCs w:val="22"/>
              </w:rPr>
            </w:pPr>
            <w:r>
              <w:rPr>
                <w:sz w:val="20"/>
                <w:szCs w:val="20"/>
              </w:rPr>
              <w:t>Количество выездных патронажных бригад*</w:t>
            </w:r>
          </w:p>
        </w:tc>
        <w:tc>
          <w:tcPr>
            <w:tcW w:w="1931" w:type="dxa"/>
            <w:tcBorders>
              <w:top w:val="single" w:sz="8" w:space="0" w:color="00000A"/>
              <w:left w:val="single" w:sz="8" w:space="0" w:color="00000A"/>
              <w:bottom w:val="single" w:sz="8" w:space="0" w:color="00000A"/>
              <w:right w:val="nil"/>
            </w:tcBorders>
            <w:shd w:val="clear" w:color="auto" w:fill="FFFFFF"/>
            <w:vAlign w:val="center"/>
            <w:hideMark/>
          </w:tcPr>
          <w:p w:rsidR="00ED7F17" w:rsidRDefault="00ED7F17">
            <w:pPr>
              <w:spacing w:line="276" w:lineRule="auto"/>
              <w:jc w:val="center"/>
              <w:rPr>
                <w:rFonts w:ascii="Arial" w:eastAsia="Arial" w:hAnsi="Arial" w:cs="Arial"/>
                <w:sz w:val="22"/>
                <w:szCs w:val="22"/>
              </w:rPr>
            </w:pPr>
            <w:r>
              <w:rPr>
                <w:sz w:val="20"/>
                <w:szCs w:val="20"/>
              </w:rPr>
              <w:t>12</w:t>
            </w:r>
          </w:p>
        </w:tc>
        <w:tc>
          <w:tcPr>
            <w:tcW w:w="1952" w:type="dxa"/>
            <w:tcBorders>
              <w:top w:val="single" w:sz="8" w:space="0" w:color="00000A"/>
              <w:left w:val="single" w:sz="8" w:space="0" w:color="00000A"/>
              <w:bottom w:val="single" w:sz="8" w:space="0" w:color="00000A"/>
              <w:right w:val="single" w:sz="8" w:space="0" w:color="00000A"/>
            </w:tcBorders>
            <w:shd w:val="clear" w:color="auto" w:fill="FFFFFF"/>
            <w:vAlign w:val="center"/>
            <w:hideMark/>
          </w:tcPr>
          <w:p w:rsidR="00ED7F17" w:rsidRDefault="00ED7F17">
            <w:pPr>
              <w:spacing w:line="276" w:lineRule="auto"/>
              <w:ind w:left="-63"/>
              <w:jc w:val="center"/>
              <w:rPr>
                <w:rFonts w:ascii="Arial" w:eastAsia="Arial" w:hAnsi="Arial" w:cs="Arial"/>
                <w:sz w:val="22"/>
                <w:szCs w:val="22"/>
              </w:rPr>
            </w:pPr>
            <w:r>
              <w:rPr>
                <w:sz w:val="20"/>
                <w:szCs w:val="20"/>
              </w:rPr>
              <w:t>1</w:t>
            </w:r>
          </w:p>
        </w:tc>
      </w:tr>
      <w:tr w:rsidR="00ED7F17" w:rsidTr="00ED7F17">
        <w:trPr>
          <w:trHeight w:val="315"/>
        </w:trPr>
        <w:tc>
          <w:tcPr>
            <w:tcW w:w="6011" w:type="dxa"/>
            <w:tcBorders>
              <w:top w:val="single" w:sz="8" w:space="0" w:color="00000A"/>
              <w:left w:val="single" w:sz="8" w:space="0" w:color="00000A"/>
              <w:bottom w:val="single" w:sz="8" w:space="0" w:color="00000A"/>
              <w:right w:val="nil"/>
            </w:tcBorders>
            <w:shd w:val="clear" w:color="auto" w:fill="FFFFFF"/>
            <w:hideMark/>
          </w:tcPr>
          <w:p w:rsidR="00ED7F17" w:rsidRDefault="00ED7F17">
            <w:pPr>
              <w:spacing w:line="276" w:lineRule="auto"/>
              <w:rPr>
                <w:rFonts w:ascii="Arial" w:eastAsia="Arial" w:hAnsi="Arial" w:cs="Arial"/>
                <w:sz w:val="22"/>
                <w:szCs w:val="22"/>
              </w:rPr>
            </w:pPr>
            <w:r>
              <w:rPr>
                <w:sz w:val="20"/>
                <w:szCs w:val="20"/>
              </w:rPr>
              <w:t>Количество хосписов</w:t>
            </w:r>
          </w:p>
        </w:tc>
        <w:tc>
          <w:tcPr>
            <w:tcW w:w="1931" w:type="dxa"/>
            <w:tcBorders>
              <w:top w:val="single" w:sz="8" w:space="0" w:color="00000A"/>
              <w:left w:val="single" w:sz="8" w:space="0" w:color="00000A"/>
              <w:bottom w:val="single" w:sz="8" w:space="0" w:color="00000A"/>
              <w:right w:val="nil"/>
            </w:tcBorders>
            <w:shd w:val="clear" w:color="auto" w:fill="FFFFFF"/>
            <w:vAlign w:val="center"/>
            <w:hideMark/>
          </w:tcPr>
          <w:p w:rsidR="00ED7F17" w:rsidRDefault="00ED7F17">
            <w:pPr>
              <w:spacing w:line="276" w:lineRule="auto"/>
              <w:jc w:val="center"/>
              <w:rPr>
                <w:rFonts w:ascii="Arial" w:eastAsia="Arial" w:hAnsi="Arial" w:cs="Arial"/>
                <w:sz w:val="22"/>
                <w:szCs w:val="22"/>
              </w:rPr>
            </w:pPr>
            <w:r>
              <w:rPr>
                <w:sz w:val="20"/>
                <w:szCs w:val="20"/>
              </w:rPr>
              <w:t>0</w:t>
            </w:r>
          </w:p>
        </w:tc>
        <w:tc>
          <w:tcPr>
            <w:tcW w:w="1952" w:type="dxa"/>
            <w:tcBorders>
              <w:top w:val="single" w:sz="8" w:space="0" w:color="00000A"/>
              <w:left w:val="single" w:sz="8" w:space="0" w:color="00000A"/>
              <w:bottom w:val="single" w:sz="8" w:space="0" w:color="00000A"/>
              <w:right w:val="single" w:sz="8" w:space="0" w:color="00000A"/>
            </w:tcBorders>
            <w:shd w:val="clear" w:color="auto" w:fill="FFFFFF"/>
            <w:vAlign w:val="center"/>
            <w:hideMark/>
          </w:tcPr>
          <w:p w:rsidR="00ED7F17" w:rsidRDefault="00ED7F17">
            <w:pPr>
              <w:spacing w:line="276" w:lineRule="auto"/>
              <w:ind w:left="-63"/>
              <w:jc w:val="center"/>
              <w:rPr>
                <w:rFonts w:ascii="Arial" w:eastAsia="Arial" w:hAnsi="Arial" w:cs="Arial"/>
                <w:sz w:val="22"/>
                <w:szCs w:val="22"/>
              </w:rPr>
            </w:pPr>
            <w:r>
              <w:rPr>
                <w:sz w:val="20"/>
                <w:szCs w:val="20"/>
              </w:rPr>
              <w:t>0</w:t>
            </w:r>
          </w:p>
        </w:tc>
      </w:tr>
      <w:tr w:rsidR="00ED7F17" w:rsidTr="00ED7F17">
        <w:trPr>
          <w:trHeight w:val="331"/>
        </w:trPr>
        <w:tc>
          <w:tcPr>
            <w:tcW w:w="6011" w:type="dxa"/>
            <w:tcBorders>
              <w:top w:val="single" w:sz="8" w:space="0" w:color="00000A"/>
              <w:left w:val="single" w:sz="8" w:space="0" w:color="00000A"/>
              <w:bottom w:val="single" w:sz="8" w:space="0" w:color="00000A"/>
              <w:right w:val="nil"/>
            </w:tcBorders>
            <w:shd w:val="clear" w:color="auto" w:fill="FFFFFF"/>
            <w:hideMark/>
          </w:tcPr>
          <w:p w:rsidR="00ED7F17" w:rsidRDefault="00ED7F17">
            <w:pPr>
              <w:spacing w:line="276" w:lineRule="auto"/>
              <w:rPr>
                <w:rFonts w:ascii="Arial" w:eastAsia="Arial" w:hAnsi="Arial" w:cs="Arial"/>
                <w:sz w:val="22"/>
                <w:szCs w:val="22"/>
              </w:rPr>
            </w:pPr>
            <w:r>
              <w:rPr>
                <w:sz w:val="20"/>
                <w:szCs w:val="20"/>
              </w:rPr>
              <w:t>Количество отделений паллиативной медицинской помощи</w:t>
            </w:r>
          </w:p>
        </w:tc>
        <w:tc>
          <w:tcPr>
            <w:tcW w:w="1931" w:type="dxa"/>
            <w:tcBorders>
              <w:top w:val="single" w:sz="8" w:space="0" w:color="00000A"/>
              <w:left w:val="single" w:sz="8" w:space="0" w:color="00000A"/>
              <w:bottom w:val="single" w:sz="8" w:space="0" w:color="00000A"/>
              <w:right w:val="nil"/>
            </w:tcBorders>
            <w:shd w:val="clear" w:color="auto" w:fill="FFFFFF"/>
            <w:vAlign w:val="center"/>
            <w:hideMark/>
          </w:tcPr>
          <w:p w:rsidR="00ED7F17" w:rsidRDefault="00ED7F17">
            <w:pPr>
              <w:spacing w:line="276" w:lineRule="auto"/>
              <w:jc w:val="center"/>
              <w:rPr>
                <w:rFonts w:ascii="Arial" w:eastAsia="Arial" w:hAnsi="Arial" w:cs="Arial"/>
                <w:sz w:val="22"/>
                <w:szCs w:val="22"/>
              </w:rPr>
            </w:pPr>
            <w:r>
              <w:rPr>
                <w:sz w:val="20"/>
                <w:szCs w:val="20"/>
              </w:rPr>
              <w:t>2</w:t>
            </w:r>
          </w:p>
        </w:tc>
        <w:tc>
          <w:tcPr>
            <w:tcW w:w="1952" w:type="dxa"/>
            <w:tcBorders>
              <w:top w:val="single" w:sz="8" w:space="0" w:color="00000A"/>
              <w:left w:val="single" w:sz="8" w:space="0" w:color="00000A"/>
              <w:bottom w:val="single" w:sz="8" w:space="0" w:color="00000A"/>
              <w:right w:val="single" w:sz="8" w:space="0" w:color="00000A"/>
            </w:tcBorders>
            <w:shd w:val="clear" w:color="auto" w:fill="FFFFFF"/>
            <w:vAlign w:val="center"/>
            <w:hideMark/>
          </w:tcPr>
          <w:p w:rsidR="00ED7F17" w:rsidRDefault="00ED7F17">
            <w:pPr>
              <w:spacing w:line="276" w:lineRule="auto"/>
              <w:ind w:left="-63"/>
              <w:jc w:val="center"/>
              <w:rPr>
                <w:rFonts w:ascii="Arial" w:eastAsia="Arial" w:hAnsi="Arial" w:cs="Arial"/>
                <w:sz w:val="22"/>
                <w:szCs w:val="22"/>
              </w:rPr>
            </w:pPr>
            <w:r>
              <w:rPr>
                <w:sz w:val="20"/>
                <w:szCs w:val="20"/>
              </w:rPr>
              <w:t>0</w:t>
            </w:r>
          </w:p>
        </w:tc>
      </w:tr>
      <w:tr w:rsidR="00ED7F17" w:rsidTr="00ED7F17">
        <w:trPr>
          <w:trHeight w:val="315"/>
        </w:trPr>
        <w:tc>
          <w:tcPr>
            <w:tcW w:w="6011" w:type="dxa"/>
            <w:tcBorders>
              <w:top w:val="single" w:sz="8" w:space="0" w:color="00000A"/>
              <w:left w:val="single" w:sz="8" w:space="0" w:color="00000A"/>
              <w:bottom w:val="single" w:sz="8" w:space="0" w:color="00000A"/>
              <w:right w:val="nil"/>
            </w:tcBorders>
            <w:shd w:val="clear" w:color="auto" w:fill="FFFFFF"/>
            <w:vAlign w:val="center"/>
            <w:hideMark/>
          </w:tcPr>
          <w:p w:rsidR="00ED7F17" w:rsidRDefault="00ED7F17">
            <w:pPr>
              <w:spacing w:line="276" w:lineRule="auto"/>
              <w:rPr>
                <w:rFonts w:ascii="Arial" w:eastAsia="Arial" w:hAnsi="Arial" w:cs="Arial"/>
                <w:sz w:val="22"/>
                <w:szCs w:val="22"/>
              </w:rPr>
            </w:pPr>
            <w:r>
              <w:rPr>
                <w:sz w:val="20"/>
                <w:szCs w:val="20"/>
              </w:rPr>
              <w:t>Количество домов сестринского ухода</w:t>
            </w:r>
          </w:p>
        </w:tc>
        <w:tc>
          <w:tcPr>
            <w:tcW w:w="1931" w:type="dxa"/>
            <w:tcBorders>
              <w:top w:val="single" w:sz="8" w:space="0" w:color="00000A"/>
              <w:left w:val="single" w:sz="8" w:space="0" w:color="00000A"/>
              <w:bottom w:val="single" w:sz="8" w:space="0" w:color="00000A"/>
              <w:right w:val="nil"/>
            </w:tcBorders>
            <w:shd w:val="clear" w:color="auto" w:fill="FFFFFF"/>
            <w:vAlign w:val="center"/>
            <w:hideMark/>
          </w:tcPr>
          <w:p w:rsidR="00ED7F17" w:rsidRDefault="00ED7F17">
            <w:pPr>
              <w:spacing w:line="276" w:lineRule="auto"/>
              <w:jc w:val="center"/>
              <w:rPr>
                <w:rFonts w:ascii="Arial" w:eastAsia="Arial" w:hAnsi="Arial" w:cs="Arial"/>
                <w:sz w:val="22"/>
                <w:szCs w:val="22"/>
              </w:rPr>
            </w:pPr>
            <w:r>
              <w:rPr>
                <w:sz w:val="20"/>
                <w:szCs w:val="20"/>
              </w:rPr>
              <w:t>0</w:t>
            </w:r>
          </w:p>
        </w:tc>
        <w:tc>
          <w:tcPr>
            <w:tcW w:w="1952" w:type="dxa"/>
            <w:tcBorders>
              <w:top w:val="single" w:sz="8" w:space="0" w:color="00000A"/>
              <w:left w:val="single" w:sz="8" w:space="0" w:color="00000A"/>
              <w:bottom w:val="single" w:sz="8" w:space="0" w:color="00000A"/>
              <w:right w:val="single" w:sz="8" w:space="0" w:color="00000A"/>
            </w:tcBorders>
            <w:shd w:val="clear" w:color="auto" w:fill="FFFFFF"/>
            <w:vAlign w:val="center"/>
            <w:hideMark/>
          </w:tcPr>
          <w:p w:rsidR="00ED7F17" w:rsidRDefault="00ED7F17">
            <w:pPr>
              <w:spacing w:line="276" w:lineRule="auto"/>
              <w:jc w:val="center"/>
              <w:rPr>
                <w:rFonts w:ascii="Arial" w:eastAsia="Arial" w:hAnsi="Arial" w:cs="Arial"/>
                <w:sz w:val="22"/>
                <w:szCs w:val="22"/>
              </w:rPr>
            </w:pPr>
            <w:r>
              <w:rPr>
                <w:sz w:val="20"/>
                <w:szCs w:val="20"/>
              </w:rPr>
              <w:t>X</w:t>
            </w:r>
          </w:p>
        </w:tc>
      </w:tr>
      <w:tr w:rsidR="00ED7F17" w:rsidTr="00ED7F17">
        <w:trPr>
          <w:trHeight w:val="315"/>
        </w:trPr>
        <w:tc>
          <w:tcPr>
            <w:tcW w:w="6011" w:type="dxa"/>
            <w:tcBorders>
              <w:top w:val="single" w:sz="8" w:space="0" w:color="00000A"/>
              <w:left w:val="single" w:sz="8" w:space="0" w:color="00000A"/>
              <w:bottom w:val="single" w:sz="8" w:space="0" w:color="00000A"/>
              <w:right w:val="nil"/>
            </w:tcBorders>
            <w:shd w:val="clear" w:color="auto" w:fill="FFFFFF"/>
            <w:vAlign w:val="bottom"/>
            <w:hideMark/>
          </w:tcPr>
          <w:p w:rsidR="00ED7F17" w:rsidRDefault="00ED7F17">
            <w:pPr>
              <w:spacing w:line="276" w:lineRule="auto"/>
              <w:rPr>
                <w:rFonts w:ascii="Arial" w:eastAsia="Arial" w:hAnsi="Arial" w:cs="Arial"/>
                <w:sz w:val="22"/>
                <w:szCs w:val="22"/>
              </w:rPr>
            </w:pPr>
            <w:r>
              <w:rPr>
                <w:sz w:val="20"/>
                <w:szCs w:val="20"/>
              </w:rPr>
              <w:t>Количество отделений сестринского ухода</w:t>
            </w:r>
          </w:p>
        </w:tc>
        <w:tc>
          <w:tcPr>
            <w:tcW w:w="1931" w:type="dxa"/>
            <w:tcBorders>
              <w:top w:val="single" w:sz="8" w:space="0" w:color="00000A"/>
              <w:left w:val="single" w:sz="8" w:space="0" w:color="00000A"/>
              <w:bottom w:val="single" w:sz="8" w:space="0" w:color="00000A"/>
              <w:right w:val="nil"/>
            </w:tcBorders>
            <w:shd w:val="clear" w:color="auto" w:fill="FFFFFF"/>
            <w:vAlign w:val="center"/>
            <w:hideMark/>
          </w:tcPr>
          <w:p w:rsidR="00ED7F17" w:rsidRDefault="00ED7F17">
            <w:pPr>
              <w:spacing w:line="276" w:lineRule="auto"/>
              <w:jc w:val="center"/>
              <w:rPr>
                <w:rFonts w:ascii="Arial" w:eastAsia="Arial" w:hAnsi="Arial" w:cs="Arial"/>
                <w:sz w:val="22"/>
                <w:szCs w:val="22"/>
              </w:rPr>
            </w:pPr>
            <w:r>
              <w:rPr>
                <w:sz w:val="20"/>
                <w:szCs w:val="20"/>
              </w:rPr>
              <w:t>12</w:t>
            </w:r>
          </w:p>
        </w:tc>
        <w:tc>
          <w:tcPr>
            <w:tcW w:w="1952" w:type="dxa"/>
            <w:tcBorders>
              <w:top w:val="single" w:sz="8" w:space="0" w:color="00000A"/>
              <w:left w:val="single" w:sz="8" w:space="0" w:color="00000A"/>
              <w:bottom w:val="single" w:sz="8" w:space="0" w:color="00000A"/>
              <w:right w:val="single" w:sz="8" w:space="0" w:color="00000A"/>
            </w:tcBorders>
            <w:shd w:val="clear" w:color="auto" w:fill="FFFFFF"/>
            <w:vAlign w:val="center"/>
            <w:hideMark/>
          </w:tcPr>
          <w:p w:rsidR="00ED7F17" w:rsidRDefault="00ED7F17">
            <w:pPr>
              <w:spacing w:line="276" w:lineRule="auto"/>
              <w:jc w:val="center"/>
              <w:rPr>
                <w:rFonts w:ascii="Arial" w:eastAsia="Arial" w:hAnsi="Arial" w:cs="Arial"/>
                <w:sz w:val="22"/>
                <w:szCs w:val="22"/>
              </w:rPr>
            </w:pPr>
            <w:r>
              <w:rPr>
                <w:sz w:val="20"/>
                <w:szCs w:val="20"/>
              </w:rPr>
              <w:t>X</w:t>
            </w:r>
          </w:p>
        </w:tc>
      </w:tr>
      <w:tr w:rsidR="00ED7F17" w:rsidTr="00ED7F17">
        <w:trPr>
          <w:trHeight w:val="315"/>
        </w:trPr>
        <w:tc>
          <w:tcPr>
            <w:tcW w:w="6011" w:type="dxa"/>
            <w:tcBorders>
              <w:top w:val="single" w:sz="8" w:space="0" w:color="00000A"/>
              <w:left w:val="single" w:sz="8" w:space="0" w:color="00000A"/>
              <w:bottom w:val="single" w:sz="8" w:space="0" w:color="00000A"/>
              <w:right w:val="nil"/>
            </w:tcBorders>
            <w:shd w:val="clear" w:color="auto" w:fill="FFFFFF"/>
            <w:vAlign w:val="bottom"/>
            <w:hideMark/>
          </w:tcPr>
          <w:p w:rsidR="00ED7F17" w:rsidRDefault="00ED7F17">
            <w:pPr>
              <w:spacing w:line="276" w:lineRule="auto"/>
              <w:rPr>
                <w:rFonts w:ascii="Arial" w:eastAsia="Arial" w:hAnsi="Arial" w:cs="Arial"/>
                <w:sz w:val="22"/>
                <w:szCs w:val="22"/>
              </w:rPr>
            </w:pPr>
            <w:r>
              <w:rPr>
                <w:sz w:val="20"/>
                <w:szCs w:val="20"/>
              </w:rPr>
              <w:t>Количество паллиативных коек для взрослых, в том числе:</w:t>
            </w:r>
          </w:p>
        </w:tc>
        <w:tc>
          <w:tcPr>
            <w:tcW w:w="1931" w:type="dxa"/>
            <w:tcBorders>
              <w:top w:val="single" w:sz="8" w:space="0" w:color="00000A"/>
              <w:left w:val="single" w:sz="8" w:space="0" w:color="00000A"/>
              <w:bottom w:val="single" w:sz="8" w:space="0" w:color="00000A"/>
              <w:right w:val="nil"/>
            </w:tcBorders>
            <w:shd w:val="clear" w:color="auto" w:fill="FFFFFF"/>
            <w:vAlign w:val="center"/>
            <w:hideMark/>
          </w:tcPr>
          <w:p w:rsidR="00ED7F17" w:rsidRDefault="00ED7F17">
            <w:pPr>
              <w:spacing w:line="276" w:lineRule="auto"/>
              <w:jc w:val="center"/>
              <w:rPr>
                <w:rFonts w:ascii="Arial" w:eastAsia="Arial" w:hAnsi="Arial" w:cs="Arial"/>
                <w:sz w:val="22"/>
                <w:szCs w:val="22"/>
              </w:rPr>
            </w:pPr>
            <w:r>
              <w:rPr>
                <w:sz w:val="20"/>
                <w:szCs w:val="20"/>
              </w:rPr>
              <w:t>80</w:t>
            </w:r>
          </w:p>
        </w:tc>
        <w:tc>
          <w:tcPr>
            <w:tcW w:w="1952" w:type="dxa"/>
            <w:tcBorders>
              <w:top w:val="single" w:sz="8" w:space="0" w:color="00000A"/>
              <w:left w:val="single" w:sz="8" w:space="0" w:color="00000A"/>
              <w:bottom w:val="single" w:sz="8" w:space="0" w:color="00000A"/>
              <w:right w:val="single" w:sz="8" w:space="0" w:color="00000A"/>
            </w:tcBorders>
            <w:shd w:val="clear" w:color="auto" w:fill="FFFFFF"/>
            <w:vAlign w:val="center"/>
            <w:hideMark/>
          </w:tcPr>
          <w:p w:rsidR="00ED7F17" w:rsidRDefault="00ED7F17">
            <w:pPr>
              <w:spacing w:line="276" w:lineRule="auto"/>
              <w:jc w:val="center"/>
              <w:rPr>
                <w:rFonts w:ascii="Arial" w:eastAsia="Arial" w:hAnsi="Arial" w:cs="Arial"/>
                <w:sz w:val="22"/>
                <w:szCs w:val="22"/>
              </w:rPr>
            </w:pPr>
            <w:r>
              <w:rPr>
                <w:sz w:val="20"/>
                <w:szCs w:val="20"/>
              </w:rPr>
              <w:t>X</w:t>
            </w:r>
          </w:p>
        </w:tc>
      </w:tr>
      <w:tr w:rsidR="00ED7F17" w:rsidTr="00ED7F17">
        <w:trPr>
          <w:trHeight w:val="315"/>
        </w:trPr>
        <w:tc>
          <w:tcPr>
            <w:tcW w:w="6011" w:type="dxa"/>
            <w:tcBorders>
              <w:top w:val="single" w:sz="8" w:space="0" w:color="00000A"/>
              <w:left w:val="single" w:sz="8" w:space="0" w:color="00000A"/>
              <w:bottom w:val="single" w:sz="8" w:space="0" w:color="00000A"/>
              <w:right w:val="nil"/>
            </w:tcBorders>
            <w:shd w:val="clear" w:color="auto" w:fill="FFFFFF"/>
            <w:vAlign w:val="center"/>
            <w:hideMark/>
          </w:tcPr>
          <w:p w:rsidR="00ED7F17" w:rsidRDefault="00ED7F17">
            <w:pPr>
              <w:spacing w:line="276" w:lineRule="auto"/>
              <w:rPr>
                <w:rFonts w:ascii="Arial" w:eastAsia="Arial" w:hAnsi="Arial" w:cs="Arial"/>
                <w:sz w:val="22"/>
                <w:szCs w:val="22"/>
              </w:rPr>
            </w:pPr>
            <w:r>
              <w:rPr>
                <w:sz w:val="20"/>
                <w:szCs w:val="20"/>
              </w:rPr>
              <w:t>Количество онкологических паллиативных коек</w:t>
            </w:r>
          </w:p>
        </w:tc>
        <w:tc>
          <w:tcPr>
            <w:tcW w:w="1931" w:type="dxa"/>
            <w:tcBorders>
              <w:top w:val="single" w:sz="8" w:space="0" w:color="00000A"/>
              <w:left w:val="single" w:sz="8" w:space="0" w:color="00000A"/>
              <w:bottom w:val="single" w:sz="8" w:space="0" w:color="00000A"/>
              <w:right w:val="nil"/>
            </w:tcBorders>
            <w:shd w:val="clear" w:color="auto" w:fill="FFFFFF"/>
            <w:vAlign w:val="center"/>
            <w:hideMark/>
          </w:tcPr>
          <w:p w:rsidR="00ED7F17" w:rsidRDefault="00ED7F17">
            <w:pPr>
              <w:spacing w:line="276" w:lineRule="auto"/>
              <w:jc w:val="center"/>
              <w:rPr>
                <w:rFonts w:ascii="Arial" w:eastAsia="Arial" w:hAnsi="Arial" w:cs="Arial"/>
                <w:sz w:val="22"/>
                <w:szCs w:val="22"/>
              </w:rPr>
            </w:pPr>
            <w:r>
              <w:rPr>
                <w:sz w:val="20"/>
                <w:szCs w:val="20"/>
              </w:rPr>
              <w:t>32</w:t>
            </w:r>
          </w:p>
        </w:tc>
        <w:tc>
          <w:tcPr>
            <w:tcW w:w="1952" w:type="dxa"/>
            <w:tcBorders>
              <w:top w:val="single" w:sz="8" w:space="0" w:color="00000A"/>
              <w:left w:val="single" w:sz="8" w:space="0" w:color="00000A"/>
              <w:bottom w:val="single" w:sz="8" w:space="0" w:color="00000A"/>
              <w:right w:val="single" w:sz="8" w:space="0" w:color="00000A"/>
            </w:tcBorders>
            <w:shd w:val="clear" w:color="auto" w:fill="FFFFFF"/>
            <w:vAlign w:val="center"/>
            <w:hideMark/>
          </w:tcPr>
          <w:p w:rsidR="00ED7F17" w:rsidRDefault="00ED7F17">
            <w:pPr>
              <w:spacing w:line="276" w:lineRule="auto"/>
              <w:jc w:val="center"/>
              <w:rPr>
                <w:rFonts w:ascii="Arial" w:eastAsia="Arial" w:hAnsi="Arial" w:cs="Arial"/>
                <w:sz w:val="22"/>
                <w:szCs w:val="22"/>
              </w:rPr>
            </w:pPr>
            <w:r>
              <w:rPr>
                <w:sz w:val="20"/>
                <w:szCs w:val="20"/>
              </w:rPr>
              <w:t>X</w:t>
            </w:r>
          </w:p>
        </w:tc>
      </w:tr>
      <w:tr w:rsidR="00ED7F17" w:rsidTr="00ED7F17">
        <w:trPr>
          <w:trHeight w:val="315"/>
        </w:trPr>
        <w:tc>
          <w:tcPr>
            <w:tcW w:w="6011" w:type="dxa"/>
            <w:tcBorders>
              <w:top w:val="single" w:sz="8" w:space="0" w:color="00000A"/>
              <w:left w:val="single" w:sz="8" w:space="0" w:color="00000A"/>
              <w:bottom w:val="single" w:sz="8" w:space="0" w:color="00000A"/>
              <w:right w:val="nil"/>
            </w:tcBorders>
            <w:shd w:val="clear" w:color="auto" w:fill="FFFFFF"/>
            <w:vAlign w:val="bottom"/>
            <w:hideMark/>
          </w:tcPr>
          <w:p w:rsidR="00ED7F17" w:rsidRDefault="00ED7F17">
            <w:pPr>
              <w:spacing w:line="276" w:lineRule="auto"/>
              <w:rPr>
                <w:rFonts w:ascii="Arial" w:eastAsia="Arial" w:hAnsi="Arial" w:cs="Arial"/>
                <w:sz w:val="22"/>
                <w:szCs w:val="22"/>
              </w:rPr>
            </w:pPr>
            <w:r>
              <w:rPr>
                <w:sz w:val="20"/>
                <w:szCs w:val="20"/>
              </w:rPr>
              <w:t>Количество паллиативных коек для детей</w:t>
            </w:r>
          </w:p>
        </w:tc>
        <w:tc>
          <w:tcPr>
            <w:tcW w:w="1931" w:type="dxa"/>
            <w:tcBorders>
              <w:top w:val="single" w:sz="8" w:space="0" w:color="00000A"/>
              <w:left w:val="single" w:sz="8" w:space="0" w:color="00000A"/>
              <w:bottom w:val="single" w:sz="8" w:space="0" w:color="00000A"/>
              <w:right w:val="nil"/>
            </w:tcBorders>
            <w:shd w:val="clear" w:color="auto" w:fill="FFFFFF"/>
            <w:vAlign w:val="center"/>
            <w:hideMark/>
          </w:tcPr>
          <w:p w:rsidR="00ED7F17" w:rsidRDefault="00ED7F17">
            <w:pPr>
              <w:spacing w:line="276" w:lineRule="auto"/>
              <w:jc w:val="center"/>
              <w:rPr>
                <w:rFonts w:ascii="Arial" w:eastAsia="Arial" w:hAnsi="Arial" w:cs="Arial"/>
                <w:sz w:val="22"/>
                <w:szCs w:val="22"/>
              </w:rPr>
            </w:pPr>
            <w:r>
              <w:rPr>
                <w:sz w:val="20"/>
                <w:szCs w:val="20"/>
              </w:rPr>
              <w:t>X</w:t>
            </w:r>
          </w:p>
        </w:tc>
        <w:tc>
          <w:tcPr>
            <w:tcW w:w="1952" w:type="dxa"/>
            <w:tcBorders>
              <w:top w:val="single" w:sz="8" w:space="0" w:color="00000A"/>
              <w:left w:val="single" w:sz="8" w:space="0" w:color="00000A"/>
              <w:bottom w:val="single" w:sz="8" w:space="0" w:color="00000A"/>
              <w:right w:val="single" w:sz="8" w:space="0" w:color="00000A"/>
            </w:tcBorders>
            <w:shd w:val="clear" w:color="auto" w:fill="FFFFFF"/>
            <w:vAlign w:val="center"/>
            <w:hideMark/>
          </w:tcPr>
          <w:p w:rsidR="00ED7F17" w:rsidRDefault="00ED7F17">
            <w:pPr>
              <w:spacing w:line="276" w:lineRule="auto"/>
              <w:ind w:firstLine="43"/>
              <w:jc w:val="center"/>
              <w:rPr>
                <w:rFonts w:ascii="Arial" w:eastAsia="Arial" w:hAnsi="Arial" w:cs="Arial"/>
                <w:sz w:val="22"/>
                <w:szCs w:val="22"/>
              </w:rPr>
            </w:pPr>
            <w:r>
              <w:rPr>
                <w:sz w:val="20"/>
                <w:szCs w:val="20"/>
              </w:rPr>
              <w:t>5</w:t>
            </w:r>
          </w:p>
        </w:tc>
      </w:tr>
      <w:tr w:rsidR="00ED7F17" w:rsidTr="00ED7F17">
        <w:trPr>
          <w:trHeight w:val="315"/>
        </w:trPr>
        <w:tc>
          <w:tcPr>
            <w:tcW w:w="6011" w:type="dxa"/>
            <w:tcBorders>
              <w:top w:val="single" w:sz="8" w:space="0" w:color="00000A"/>
              <w:left w:val="single" w:sz="8" w:space="0" w:color="00000A"/>
              <w:bottom w:val="single" w:sz="8" w:space="0" w:color="00000A"/>
              <w:right w:val="nil"/>
            </w:tcBorders>
            <w:shd w:val="clear" w:color="auto" w:fill="FFFFFF"/>
            <w:vAlign w:val="center"/>
            <w:hideMark/>
          </w:tcPr>
          <w:p w:rsidR="00ED7F17" w:rsidRDefault="00ED7F17">
            <w:pPr>
              <w:spacing w:line="276" w:lineRule="auto"/>
              <w:rPr>
                <w:rFonts w:ascii="Arial" w:eastAsia="Arial" w:hAnsi="Arial" w:cs="Arial"/>
                <w:sz w:val="22"/>
                <w:szCs w:val="22"/>
              </w:rPr>
            </w:pPr>
            <w:r>
              <w:rPr>
                <w:sz w:val="20"/>
                <w:szCs w:val="20"/>
              </w:rPr>
              <w:t>Количество коек сестринского ухода</w:t>
            </w:r>
          </w:p>
        </w:tc>
        <w:tc>
          <w:tcPr>
            <w:tcW w:w="1931" w:type="dxa"/>
            <w:tcBorders>
              <w:top w:val="single" w:sz="8" w:space="0" w:color="00000A"/>
              <w:left w:val="single" w:sz="8" w:space="0" w:color="00000A"/>
              <w:bottom w:val="single" w:sz="8" w:space="0" w:color="00000A"/>
              <w:right w:val="nil"/>
            </w:tcBorders>
            <w:shd w:val="clear" w:color="auto" w:fill="FFFFFF"/>
            <w:vAlign w:val="center"/>
            <w:hideMark/>
          </w:tcPr>
          <w:p w:rsidR="00ED7F17" w:rsidRDefault="00ED7F17">
            <w:pPr>
              <w:spacing w:line="276" w:lineRule="auto"/>
              <w:jc w:val="center"/>
              <w:rPr>
                <w:rFonts w:ascii="Arial" w:eastAsia="Arial" w:hAnsi="Arial" w:cs="Arial"/>
                <w:sz w:val="22"/>
                <w:szCs w:val="22"/>
              </w:rPr>
            </w:pPr>
            <w:r>
              <w:rPr>
                <w:sz w:val="20"/>
                <w:szCs w:val="20"/>
              </w:rPr>
              <w:t>287</w:t>
            </w:r>
          </w:p>
        </w:tc>
        <w:tc>
          <w:tcPr>
            <w:tcW w:w="1952" w:type="dxa"/>
            <w:tcBorders>
              <w:top w:val="single" w:sz="8" w:space="0" w:color="00000A"/>
              <w:left w:val="single" w:sz="8" w:space="0" w:color="00000A"/>
              <w:bottom w:val="single" w:sz="8" w:space="0" w:color="00000A"/>
              <w:right w:val="single" w:sz="8" w:space="0" w:color="00000A"/>
            </w:tcBorders>
            <w:shd w:val="clear" w:color="auto" w:fill="FFFFFF"/>
            <w:vAlign w:val="center"/>
            <w:hideMark/>
          </w:tcPr>
          <w:p w:rsidR="00ED7F17" w:rsidRDefault="00ED7F17">
            <w:pPr>
              <w:spacing w:line="276" w:lineRule="auto"/>
              <w:jc w:val="center"/>
              <w:rPr>
                <w:rFonts w:ascii="Arial" w:eastAsia="Arial" w:hAnsi="Arial" w:cs="Arial"/>
                <w:sz w:val="22"/>
                <w:szCs w:val="22"/>
              </w:rPr>
            </w:pPr>
            <w:r>
              <w:rPr>
                <w:sz w:val="20"/>
                <w:szCs w:val="20"/>
              </w:rPr>
              <w:t>X</w:t>
            </w:r>
          </w:p>
        </w:tc>
      </w:tr>
    </w:tbl>
    <w:p w:rsidR="00ED7F17" w:rsidRDefault="00ED7F17" w:rsidP="00ED7F17">
      <w:pPr>
        <w:ind w:left="-567" w:firstLine="709"/>
        <w:rPr>
          <w:rFonts w:eastAsia="Arial"/>
        </w:rPr>
      </w:pPr>
    </w:p>
    <w:p w:rsidR="00ED7F17" w:rsidRDefault="00ED7F17" w:rsidP="00ED7F17">
      <w:pPr>
        <w:ind w:firstLine="709"/>
        <w:jc w:val="both"/>
        <w:rPr>
          <w:rFonts w:ascii="Arial" w:hAnsi="Arial" w:cs="Arial"/>
          <w:sz w:val="22"/>
          <w:szCs w:val="22"/>
        </w:rPr>
      </w:pPr>
      <w:r>
        <w:t>В 2018 году количество коек для оказания паллиативной медицинской помощи в стационарных условиях увеличено на 14,5% и составляет 80 паллиативных коек для взрослых (включая койки для паллиативной помощи пациентам с новообразованиями) и 5 паллиативных коек для детей. В 2018 году паллиативную помощь в стационарных условиях получили 1159 взрослых пациента и 32 ребенка, за 2017 год такой вид помощи получили 732 взрослых и 42 ребенка.</w:t>
      </w:r>
    </w:p>
    <w:p w:rsidR="00ED7F17" w:rsidRDefault="00ED7F17" w:rsidP="00ED7F17">
      <w:pPr>
        <w:ind w:firstLine="709"/>
        <w:jc w:val="both"/>
      </w:pPr>
      <w:r>
        <w:t xml:space="preserve">В 2018 году  на территории области развернуто 287 коек сестринского ухода. </w:t>
      </w:r>
    </w:p>
    <w:p w:rsidR="00ED7F17" w:rsidRDefault="00ED7F17" w:rsidP="00ED7F17">
      <w:pPr>
        <w:ind w:left="-567" w:firstLine="708"/>
      </w:pPr>
    </w:p>
    <w:tbl>
      <w:tblPr>
        <w:tblW w:w="0" w:type="auto"/>
        <w:tblInd w:w="-101" w:type="dxa"/>
        <w:tblLayout w:type="fixed"/>
        <w:tblCellMar>
          <w:left w:w="103" w:type="dxa"/>
        </w:tblCellMar>
        <w:tblLook w:val="04A0" w:firstRow="1" w:lastRow="0" w:firstColumn="1" w:lastColumn="0" w:noHBand="0" w:noVBand="1"/>
      </w:tblPr>
      <w:tblGrid>
        <w:gridCol w:w="734"/>
        <w:gridCol w:w="4133"/>
        <w:gridCol w:w="2410"/>
        <w:gridCol w:w="2445"/>
      </w:tblGrid>
      <w:tr w:rsidR="00ED7F17" w:rsidTr="00ED7F17">
        <w:tc>
          <w:tcPr>
            <w:tcW w:w="734" w:type="dxa"/>
            <w:tcBorders>
              <w:top w:val="single" w:sz="4" w:space="0" w:color="00000A"/>
              <w:left w:val="single" w:sz="4" w:space="0" w:color="00000A"/>
              <w:bottom w:val="single" w:sz="4" w:space="0" w:color="00000A"/>
              <w:right w:val="nil"/>
            </w:tcBorders>
          </w:tcPr>
          <w:p w:rsidR="00ED7F17" w:rsidRDefault="00ED7F17">
            <w:pPr>
              <w:snapToGrid w:val="0"/>
              <w:spacing w:line="276" w:lineRule="auto"/>
              <w:jc w:val="center"/>
              <w:rPr>
                <w:rFonts w:eastAsia="Arial"/>
                <w:sz w:val="20"/>
                <w:szCs w:val="20"/>
              </w:rPr>
            </w:pPr>
          </w:p>
        </w:tc>
        <w:tc>
          <w:tcPr>
            <w:tcW w:w="4133" w:type="dxa"/>
            <w:tcBorders>
              <w:top w:val="single" w:sz="4" w:space="0" w:color="00000A"/>
              <w:left w:val="single" w:sz="4" w:space="0" w:color="00000A"/>
              <w:bottom w:val="single" w:sz="4" w:space="0" w:color="00000A"/>
              <w:right w:val="nil"/>
            </w:tcBorders>
          </w:tcPr>
          <w:p w:rsidR="00ED7F17" w:rsidRDefault="00ED7F17">
            <w:pPr>
              <w:snapToGrid w:val="0"/>
              <w:spacing w:line="276" w:lineRule="auto"/>
              <w:rPr>
                <w:rFonts w:eastAsia="Arial"/>
                <w:sz w:val="20"/>
                <w:szCs w:val="20"/>
              </w:rPr>
            </w:pPr>
          </w:p>
        </w:tc>
        <w:tc>
          <w:tcPr>
            <w:tcW w:w="2410" w:type="dxa"/>
            <w:tcBorders>
              <w:top w:val="single" w:sz="4" w:space="0" w:color="00000A"/>
              <w:left w:val="single" w:sz="4" w:space="0" w:color="00000A"/>
              <w:bottom w:val="single" w:sz="4" w:space="0" w:color="00000A"/>
              <w:right w:val="nil"/>
            </w:tcBorders>
            <w:hideMark/>
          </w:tcPr>
          <w:p w:rsidR="00ED7F17" w:rsidRDefault="00ED7F17">
            <w:pPr>
              <w:spacing w:line="276" w:lineRule="auto"/>
              <w:jc w:val="center"/>
              <w:rPr>
                <w:rFonts w:ascii="Arial" w:eastAsia="Arial" w:hAnsi="Arial" w:cs="Arial"/>
                <w:sz w:val="22"/>
                <w:szCs w:val="22"/>
              </w:rPr>
            </w:pPr>
            <w:r>
              <w:rPr>
                <w:sz w:val="20"/>
                <w:szCs w:val="20"/>
              </w:rPr>
              <w:t>Количество коек ОСУ 2017 год</w:t>
            </w:r>
          </w:p>
        </w:tc>
        <w:tc>
          <w:tcPr>
            <w:tcW w:w="2445" w:type="dxa"/>
            <w:tcBorders>
              <w:top w:val="single" w:sz="4" w:space="0" w:color="00000A"/>
              <w:left w:val="single" w:sz="4" w:space="0" w:color="00000A"/>
              <w:bottom w:val="single" w:sz="4" w:space="0" w:color="00000A"/>
              <w:right w:val="single" w:sz="4" w:space="0" w:color="00000A"/>
            </w:tcBorders>
            <w:hideMark/>
          </w:tcPr>
          <w:p w:rsidR="00ED7F17" w:rsidRDefault="00ED7F17">
            <w:pPr>
              <w:spacing w:line="276" w:lineRule="auto"/>
              <w:jc w:val="center"/>
              <w:rPr>
                <w:rFonts w:ascii="Arial" w:eastAsia="Arial" w:hAnsi="Arial" w:cs="Arial"/>
                <w:sz w:val="22"/>
                <w:szCs w:val="22"/>
              </w:rPr>
            </w:pPr>
            <w:r>
              <w:rPr>
                <w:sz w:val="20"/>
                <w:szCs w:val="20"/>
              </w:rPr>
              <w:t>Количество коек ОСУ 2018  год</w:t>
            </w:r>
          </w:p>
        </w:tc>
      </w:tr>
      <w:tr w:rsidR="00ED7F17" w:rsidTr="00ED7F17">
        <w:tc>
          <w:tcPr>
            <w:tcW w:w="734" w:type="dxa"/>
            <w:tcBorders>
              <w:top w:val="single" w:sz="4" w:space="0" w:color="00000A"/>
              <w:left w:val="single" w:sz="4" w:space="0" w:color="00000A"/>
              <w:bottom w:val="single" w:sz="4" w:space="0" w:color="00000A"/>
              <w:right w:val="nil"/>
            </w:tcBorders>
            <w:hideMark/>
          </w:tcPr>
          <w:p w:rsidR="00ED7F17" w:rsidRDefault="00ED7F17">
            <w:pPr>
              <w:spacing w:line="276" w:lineRule="auto"/>
              <w:jc w:val="center"/>
              <w:rPr>
                <w:rFonts w:ascii="Arial" w:eastAsia="Arial" w:hAnsi="Arial" w:cs="Arial"/>
                <w:sz w:val="22"/>
                <w:szCs w:val="22"/>
              </w:rPr>
            </w:pPr>
            <w:r>
              <w:rPr>
                <w:sz w:val="20"/>
                <w:szCs w:val="20"/>
              </w:rPr>
              <w:t>1</w:t>
            </w:r>
          </w:p>
        </w:tc>
        <w:tc>
          <w:tcPr>
            <w:tcW w:w="4133" w:type="dxa"/>
            <w:tcBorders>
              <w:top w:val="single" w:sz="4" w:space="0" w:color="00000A"/>
              <w:left w:val="single" w:sz="4" w:space="0" w:color="00000A"/>
              <w:bottom w:val="single" w:sz="4" w:space="0" w:color="00000A"/>
              <w:right w:val="nil"/>
            </w:tcBorders>
            <w:hideMark/>
          </w:tcPr>
          <w:p w:rsidR="00ED7F17" w:rsidRDefault="00ED7F17">
            <w:pPr>
              <w:spacing w:line="276" w:lineRule="auto"/>
              <w:rPr>
                <w:rFonts w:ascii="Arial" w:eastAsia="Arial" w:hAnsi="Arial" w:cs="Arial"/>
                <w:sz w:val="22"/>
                <w:szCs w:val="22"/>
              </w:rPr>
            </w:pPr>
            <w:r>
              <w:rPr>
                <w:sz w:val="20"/>
                <w:szCs w:val="20"/>
              </w:rPr>
              <w:t>ГБУЗ АО «Ахтубинская РБ»</w:t>
            </w:r>
          </w:p>
        </w:tc>
        <w:tc>
          <w:tcPr>
            <w:tcW w:w="2410" w:type="dxa"/>
            <w:tcBorders>
              <w:top w:val="single" w:sz="4" w:space="0" w:color="00000A"/>
              <w:left w:val="single" w:sz="4" w:space="0" w:color="00000A"/>
              <w:bottom w:val="single" w:sz="4" w:space="0" w:color="00000A"/>
              <w:right w:val="nil"/>
            </w:tcBorders>
            <w:hideMark/>
          </w:tcPr>
          <w:p w:rsidR="00ED7F17" w:rsidRDefault="00ED7F17">
            <w:pPr>
              <w:spacing w:line="276" w:lineRule="auto"/>
              <w:jc w:val="center"/>
              <w:rPr>
                <w:rFonts w:ascii="Arial" w:eastAsia="Arial" w:hAnsi="Arial" w:cs="Arial"/>
                <w:sz w:val="22"/>
                <w:szCs w:val="22"/>
              </w:rPr>
            </w:pPr>
            <w:r>
              <w:rPr>
                <w:sz w:val="20"/>
                <w:szCs w:val="20"/>
              </w:rPr>
              <w:t>20</w:t>
            </w:r>
          </w:p>
        </w:tc>
        <w:tc>
          <w:tcPr>
            <w:tcW w:w="2445" w:type="dxa"/>
            <w:tcBorders>
              <w:top w:val="single" w:sz="4" w:space="0" w:color="00000A"/>
              <w:left w:val="single" w:sz="4" w:space="0" w:color="00000A"/>
              <w:bottom w:val="single" w:sz="4" w:space="0" w:color="00000A"/>
              <w:right w:val="single" w:sz="4" w:space="0" w:color="00000A"/>
            </w:tcBorders>
            <w:hideMark/>
          </w:tcPr>
          <w:p w:rsidR="00ED7F17" w:rsidRDefault="00ED7F17">
            <w:pPr>
              <w:spacing w:line="276" w:lineRule="auto"/>
              <w:jc w:val="center"/>
              <w:rPr>
                <w:rFonts w:ascii="Arial" w:eastAsia="Arial" w:hAnsi="Arial" w:cs="Arial"/>
                <w:sz w:val="22"/>
                <w:szCs w:val="22"/>
              </w:rPr>
            </w:pPr>
            <w:r>
              <w:rPr>
                <w:sz w:val="20"/>
                <w:szCs w:val="20"/>
              </w:rPr>
              <w:t>21</w:t>
            </w:r>
          </w:p>
        </w:tc>
      </w:tr>
      <w:tr w:rsidR="00ED7F17" w:rsidTr="00ED7F17">
        <w:tc>
          <w:tcPr>
            <w:tcW w:w="734" w:type="dxa"/>
            <w:tcBorders>
              <w:top w:val="single" w:sz="4" w:space="0" w:color="00000A"/>
              <w:left w:val="single" w:sz="4" w:space="0" w:color="00000A"/>
              <w:bottom w:val="single" w:sz="4" w:space="0" w:color="00000A"/>
              <w:right w:val="nil"/>
            </w:tcBorders>
            <w:hideMark/>
          </w:tcPr>
          <w:p w:rsidR="00ED7F17" w:rsidRDefault="00ED7F17">
            <w:pPr>
              <w:spacing w:line="276" w:lineRule="auto"/>
              <w:jc w:val="center"/>
              <w:rPr>
                <w:rFonts w:ascii="Arial" w:eastAsia="Arial" w:hAnsi="Arial" w:cs="Arial"/>
                <w:sz w:val="22"/>
                <w:szCs w:val="22"/>
              </w:rPr>
            </w:pPr>
            <w:r>
              <w:rPr>
                <w:sz w:val="20"/>
                <w:szCs w:val="20"/>
              </w:rPr>
              <w:t>2</w:t>
            </w:r>
          </w:p>
        </w:tc>
        <w:tc>
          <w:tcPr>
            <w:tcW w:w="4133" w:type="dxa"/>
            <w:tcBorders>
              <w:top w:val="single" w:sz="4" w:space="0" w:color="00000A"/>
              <w:left w:val="single" w:sz="4" w:space="0" w:color="00000A"/>
              <w:bottom w:val="single" w:sz="4" w:space="0" w:color="00000A"/>
              <w:right w:val="nil"/>
            </w:tcBorders>
            <w:hideMark/>
          </w:tcPr>
          <w:p w:rsidR="00ED7F17" w:rsidRDefault="00ED7F17">
            <w:pPr>
              <w:spacing w:line="276" w:lineRule="auto"/>
              <w:rPr>
                <w:rFonts w:ascii="Arial" w:eastAsia="Arial" w:hAnsi="Arial" w:cs="Arial"/>
                <w:sz w:val="22"/>
                <w:szCs w:val="22"/>
              </w:rPr>
            </w:pPr>
            <w:r>
              <w:rPr>
                <w:sz w:val="20"/>
                <w:szCs w:val="20"/>
              </w:rPr>
              <w:t>ГБУЗ АО «Володарская РБ»</w:t>
            </w:r>
          </w:p>
        </w:tc>
        <w:tc>
          <w:tcPr>
            <w:tcW w:w="2410" w:type="dxa"/>
            <w:tcBorders>
              <w:top w:val="single" w:sz="4" w:space="0" w:color="00000A"/>
              <w:left w:val="single" w:sz="4" w:space="0" w:color="00000A"/>
              <w:bottom w:val="single" w:sz="4" w:space="0" w:color="00000A"/>
              <w:right w:val="nil"/>
            </w:tcBorders>
            <w:hideMark/>
          </w:tcPr>
          <w:p w:rsidR="00ED7F17" w:rsidRDefault="00ED7F17">
            <w:pPr>
              <w:spacing w:line="276" w:lineRule="auto"/>
              <w:jc w:val="center"/>
              <w:rPr>
                <w:rFonts w:ascii="Arial" w:eastAsia="Arial" w:hAnsi="Arial" w:cs="Arial"/>
                <w:sz w:val="22"/>
                <w:szCs w:val="22"/>
              </w:rPr>
            </w:pPr>
            <w:r>
              <w:rPr>
                <w:sz w:val="20"/>
                <w:szCs w:val="20"/>
              </w:rPr>
              <w:t>24</w:t>
            </w:r>
          </w:p>
        </w:tc>
        <w:tc>
          <w:tcPr>
            <w:tcW w:w="2445" w:type="dxa"/>
            <w:tcBorders>
              <w:top w:val="single" w:sz="4" w:space="0" w:color="00000A"/>
              <w:left w:val="single" w:sz="4" w:space="0" w:color="00000A"/>
              <w:bottom w:val="single" w:sz="4" w:space="0" w:color="00000A"/>
              <w:right w:val="single" w:sz="4" w:space="0" w:color="00000A"/>
            </w:tcBorders>
            <w:hideMark/>
          </w:tcPr>
          <w:p w:rsidR="00ED7F17" w:rsidRDefault="00ED7F17">
            <w:pPr>
              <w:spacing w:line="276" w:lineRule="auto"/>
              <w:jc w:val="center"/>
              <w:rPr>
                <w:rFonts w:ascii="Arial" w:eastAsia="Arial" w:hAnsi="Arial" w:cs="Arial"/>
                <w:sz w:val="22"/>
                <w:szCs w:val="22"/>
              </w:rPr>
            </w:pPr>
            <w:r>
              <w:rPr>
                <w:sz w:val="20"/>
                <w:szCs w:val="20"/>
              </w:rPr>
              <w:t>70</w:t>
            </w:r>
          </w:p>
        </w:tc>
      </w:tr>
      <w:tr w:rsidR="00ED7F17" w:rsidTr="00ED7F17">
        <w:tc>
          <w:tcPr>
            <w:tcW w:w="734" w:type="dxa"/>
            <w:tcBorders>
              <w:top w:val="single" w:sz="4" w:space="0" w:color="00000A"/>
              <w:left w:val="single" w:sz="4" w:space="0" w:color="00000A"/>
              <w:bottom w:val="single" w:sz="4" w:space="0" w:color="00000A"/>
              <w:right w:val="nil"/>
            </w:tcBorders>
            <w:hideMark/>
          </w:tcPr>
          <w:p w:rsidR="00ED7F17" w:rsidRDefault="00ED7F17">
            <w:pPr>
              <w:spacing w:line="276" w:lineRule="auto"/>
              <w:jc w:val="center"/>
              <w:rPr>
                <w:rFonts w:ascii="Arial" w:eastAsia="Arial" w:hAnsi="Arial" w:cs="Arial"/>
                <w:sz w:val="22"/>
                <w:szCs w:val="22"/>
              </w:rPr>
            </w:pPr>
            <w:r>
              <w:rPr>
                <w:sz w:val="20"/>
                <w:szCs w:val="20"/>
              </w:rPr>
              <w:t>3</w:t>
            </w:r>
          </w:p>
        </w:tc>
        <w:tc>
          <w:tcPr>
            <w:tcW w:w="4133" w:type="dxa"/>
            <w:tcBorders>
              <w:top w:val="single" w:sz="4" w:space="0" w:color="00000A"/>
              <w:left w:val="single" w:sz="4" w:space="0" w:color="00000A"/>
              <w:bottom w:val="single" w:sz="4" w:space="0" w:color="00000A"/>
              <w:right w:val="nil"/>
            </w:tcBorders>
            <w:hideMark/>
          </w:tcPr>
          <w:p w:rsidR="00ED7F17" w:rsidRDefault="00ED7F17">
            <w:pPr>
              <w:spacing w:line="276" w:lineRule="auto"/>
              <w:rPr>
                <w:rFonts w:ascii="Arial" w:eastAsia="Arial" w:hAnsi="Arial" w:cs="Arial"/>
                <w:sz w:val="22"/>
                <w:szCs w:val="22"/>
              </w:rPr>
            </w:pPr>
            <w:r>
              <w:rPr>
                <w:sz w:val="20"/>
                <w:szCs w:val="20"/>
              </w:rPr>
              <w:t>ГБУЗ АО «Енотаевская РБ»</w:t>
            </w:r>
          </w:p>
        </w:tc>
        <w:tc>
          <w:tcPr>
            <w:tcW w:w="2410" w:type="dxa"/>
            <w:tcBorders>
              <w:top w:val="single" w:sz="4" w:space="0" w:color="00000A"/>
              <w:left w:val="single" w:sz="4" w:space="0" w:color="00000A"/>
              <w:bottom w:val="single" w:sz="4" w:space="0" w:color="00000A"/>
              <w:right w:val="nil"/>
            </w:tcBorders>
            <w:hideMark/>
          </w:tcPr>
          <w:p w:rsidR="00ED7F17" w:rsidRDefault="00ED7F17">
            <w:pPr>
              <w:spacing w:line="276" w:lineRule="auto"/>
              <w:jc w:val="center"/>
              <w:rPr>
                <w:rFonts w:ascii="Arial" w:eastAsia="Arial" w:hAnsi="Arial" w:cs="Arial"/>
                <w:sz w:val="22"/>
                <w:szCs w:val="22"/>
              </w:rPr>
            </w:pPr>
            <w:r>
              <w:rPr>
                <w:sz w:val="20"/>
                <w:szCs w:val="20"/>
              </w:rPr>
              <w:t>6</w:t>
            </w:r>
          </w:p>
        </w:tc>
        <w:tc>
          <w:tcPr>
            <w:tcW w:w="2445" w:type="dxa"/>
            <w:tcBorders>
              <w:top w:val="single" w:sz="4" w:space="0" w:color="00000A"/>
              <w:left w:val="single" w:sz="4" w:space="0" w:color="00000A"/>
              <w:bottom w:val="single" w:sz="4" w:space="0" w:color="00000A"/>
              <w:right w:val="single" w:sz="4" w:space="0" w:color="00000A"/>
            </w:tcBorders>
            <w:hideMark/>
          </w:tcPr>
          <w:p w:rsidR="00ED7F17" w:rsidRDefault="00ED7F17">
            <w:pPr>
              <w:spacing w:line="276" w:lineRule="auto"/>
              <w:jc w:val="center"/>
              <w:rPr>
                <w:rFonts w:ascii="Arial" w:eastAsia="Arial" w:hAnsi="Arial" w:cs="Arial"/>
                <w:sz w:val="22"/>
                <w:szCs w:val="22"/>
              </w:rPr>
            </w:pPr>
            <w:r>
              <w:rPr>
                <w:sz w:val="20"/>
                <w:szCs w:val="20"/>
              </w:rPr>
              <w:t>0</w:t>
            </w:r>
          </w:p>
        </w:tc>
      </w:tr>
      <w:tr w:rsidR="00ED7F17" w:rsidTr="00ED7F17">
        <w:tc>
          <w:tcPr>
            <w:tcW w:w="734" w:type="dxa"/>
            <w:tcBorders>
              <w:top w:val="single" w:sz="4" w:space="0" w:color="00000A"/>
              <w:left w:val="single" w:sz="4" w:space="0" w:color="00000A"/>
              <w:bottom w:val="single" w:sz="4" w:space="0" w:color="00000A"/>
              <w:right w:val="nil"/>
            </w:tcBorders>
            <w:hideMark/>
          </w:tcPr>
          <w:p w:rsidR="00ED7F17" w:rsidRDefault="00ED7F17">
            <w:pPr>
              <w:spacing w:line="276" w:lineRule="auto"/>
              <w:jc w:val="center"/>
              <w:rPr>
                <w:rFonts w:ascii="Arial" w:eastAsia="Arial" w:hAnsi="Arial" w:cs="Arial"/>
                <w:sz w:val="22"/>
                <w:szCs w:val="22"/>
              </w:rPr>
            </w:pPr>
            <w:r>
              <w:rPr>
                <w:sz w:val="20"/>
                <w:szCs w:val="20"/>
              </w:rPr>
              <w:t>4</w:t>
            </w:r>
          </w:p>
        </w:tc>
        <w:tc>
          <w:tcPr>
            <w:tcW w:w="4133" w:type="dxa"/>
            <w:tcBorders>
              <w:top w:val="single" w:sz="4" w:space="0" w:color="00000A"/>
              <w:left w:val="single" w:sz="4" w:space="0" w:color="00000A"/>
              <w:bottom w:val="single" w:sz="4" w:space="0" w:color="00000A"/>
              <w:right w:val="nil"/>
            </w:tcBorders>
            <w:hideMark/>
          </w:tcPr>
          <w:p w:rsidR="00ED7F17" w:rsidRDefault="00ED7F17">
            <w:pPr>
              <w:spacing w:line="276" w:lineRule="auto"/>
              <w:rPr>
                <w:rFonts w:ascii="Arial" w:eastAsia="Arial" w:hAnsi="Arial" w:cs="Arial"/>
                <w:sz w:val="22"/>
                <w:szCs w:val="22"/>
              </w:rPr>
            </w:pPr>
            <w:r>
              <w:rPr>
                <w:sz w:val="20"/>
                <w:szCs w:val="20"/>
              </w:rPr>
              <w:t>ГБУЗ АО «Лиманская РБ»</w:t>
            </w:r>
          </w:p>
        </w:tc>
        <w:tc>
          <w:tcPr>
            <w:tcW w:w="2410" w:type="dxa"/>
            <w:tcBorders>
              <w:top w:val="single" w:sz="4" w:space="0" w:color="00000A"/>
              <w:left w:val="single" w:sz="4" w:space="0" w:color="00000A"/>
              <w:bottom w:val="single" w:sz="4" w:space="0" w:color="00000A"/>
              <w:right w:val="nil"/>
            </w:tcBorders>
            <w:hideMark/>
          </w:tcPr>
          <w:p w:rsidR="00ED7F17" w:rsidRDefault="00ED7F17">
            <w:pPr>
              <w:spacing w:line="276" w:lineRule="auto"/>
              <w:jc w:val="center"/>
              <w:rPr>
                <w:rFonts w:ascii="Arial" w:eastAsia="Arial" w:hAnsi="Arial" w:cs="Arial"/>
                <w:sz w:val="22"/>
                <w:szCs w:val="22"/>
              </w:rPr>
            </w:pPr>
            <w:r>
              <w:rPr>
                <w:sz w:val="20"/>
                <w:szCs w:val="20"/>
              </w:rPr>
              <w:t>21</w:t>
            </w:r>
          </w:p>
        </w:tc>
        <w:tc>
          <w:tcPr>
            <w:tcW w:w="2445" w:type="dxa"/>
            <w:tcBorders>
              <w:top w:val="single" w:sz="4" w:space="0" w:color="00000A"/>
              <w:left w:val="single" w:sz="4" w:space="0" w:color="00000A"/>
              <w:bottom w:val="single" w:sz="4" w:space="0" w:color="00000A"/>
              <w:right w:val="single" w:sz="4" w:space="0" w:color="00000A"/>
            </w:tcBorders>
            <w:hideMark/>
          </w:tcPr>
          <w:p w:rsidR="00ED7F17" w:rsidRDefault="00ED7F17">
            <w:pPr>
              <w:spacing w:line="276" w:lineRule="auto"/>
              <w:jc w:val="center"/>
              <w:rPr>
                <w:rFonts w:ascii="Arial" w:eastAsia="Arial" w:hAnsi="Arial" w:cs="Arial"/>
                <w:sz w:val="22"/>
                <w:szCs w:val="22"/>
              </w:rPr>
            </w:pPr>
            <w:r>
              <w:rPr>
                <w:sz w:val="20"/>
                <w:szCs w:val="20"/>
              </w:rPr>
              <w:t>21</w:t>
            </w:r>
          </w:p>
        </w:tc>
      </w:tr>
      <w:tr w:rsidR="00ED7F17" w:rsidTr="00ED7F17">
        <w:tc>
          <w:tcPr>
            <w:tcW w:w="734" w:type="dxa"/>
            <w:tcBorders>
              <w:top w:val="single" w:sz="4" w:space="0" w:color="00000A"/>
              <w:left w:val="single" w:sz="4" w:space="0" w:color="00000A"/>
              <w:bottom w:val="single" w:sz="4" w:space="0" w:color="00000A"/>
              <w:right w:val="nil"/>
            </w:tcBorders>
            <w:hideMark/>
          </w:tcPr>
          <w:p w:rsidR="00ED7F17" w:rsidRDefault="00ED7F17">
            <w:pPr>
              <w:spacing w:line="276" w:lineRule="auto"/>
              <w:jc w:val="center"/>
              <w:rPr>
                <w:rFonts w:ascii="Arial" w:eastAsia="Arial" w:hAnsi="Arial" w:cs="Arial"/>
                <w:sz w:val="22"/>
                <w:szCs w:val="22"/>
              </w:rPr>
            </w:pPr>
            <w:r>
              <w:rPr>
                <w:sz w:val="20"/>
                <w:szCs w:val="20"/>
              </w:rPr>
              <w:t>5</w:t>
            </w:r>
          </w:p>
        </w:tc>
        <w:tc>
          <w:tcPr>
            <w:tcW w:w="4133" w:type="dxa"/>
            <w:tcBorders>
              <w:top w:val="single" w:sz="4" w:space="0" w:color="00000A"/>
              <w:left w:val="single" w:sz="4" w:space="0" w:color="00000A"/>
              <w:bottom w:val="single" w:sz="4" w:space="0" w:color="00000A"/>
              <w:right w:val="nil"/>
            </w:tcBorders>
            <w:hideMark/>
          </w:tcPr>
          <w:p w:rsidR="00ED7F17" w:rsidRDefault="00ED7F17">
            <w:pPr>
              <w:spacing w:line="276" w:lineRule="auto"/>
              <w:rPr>
                <w:rFonts w:ascii="Arial" w:eastAsia="Arial" w:hAnsi="Arial" w:cs="Arial"/>
                <w:sz w:val="22"/>
                <w:szCs w:val="22"/>
              </w:rPr>
            </w:pPr>
            <w:r>
              <w:rPr>
                <w:sz w:val="20"/>
                <w:szCs w:val="20"/>
              </w:rPr>
              <w:t>ГБУЗ АО «Камызякская РБ»</w:t>
            </w:r>
          </w:p>
        </w:tc>
        <w:tc>
          <w:tcPr>
            <w:tcW w:w="2410" w:type="dxa"/>
            <w:tcBorders>
              <w:top w:val="single" w:sz="4" w:space="0" w:color="00000A"/>
              <w:left w:val="single" w:sz="4" w:space="0" w:color="00000A"/>
              <w:bottom w:val="single" w:sz="4" w:space="0" w:color="00000A"/>
              <w:right w:val="nil"/>
            </w:tcBorders>
            <w:hideMark/>
          </w:tcPr>
          <w:p w:rsidR="00ED7F17" w:rsidRDefault="00ED7F17">
            <w:pPr>
              <w:spacing w:line="276" w:lineRule="auto"/>
              <w:jc w:val="center"/>
              <w:rPr>
                <w:rFonts w:ascii="Arial" w:eastAsia="Arial" w:hAnsi="Arial" w:cs="Arial"/>
                <w:sz w:val="22"/>
                <w:szCs w:val="22"/>
              </w:rPr>
            </w:pPr>
            <w:r>
              <w:rPr>
                <w:sz w:val="20"/>
                <w:szCs w:val="20"/>
              </w:rPr>
              <w:t>-</w:t>
            </w:r>
          </w:p>
        </w:tc>
        <w:tc>
          <w:tcPr>
            <w:tcW w:w="2445" w:type="dxa"/>
            <w:tcBorders>
              <w:top w:val="single" w:sz="4" w:space="0" w:color="00000A"/>
              <w:left w:val="single" w:sz="4" w:space="0" w:color="00000A"/>
              <w:bottom w:val="single" w:sz="4" w:space="0" w:color="00000A"/>
              <w:right w:val="single" w:sz="4" w:space="0" w:color="00000A"/>
            </w:tcBorders>
            <w:hideMark/>
          </w:tcPr>
          <w:p w:rsidR="00ED7F17" w:rsidRDefault="00ED7F17">
            <w:pPr>
              <w:spacing w:line="276" w:lineRule="auto"/>
              <w:jc w:val="center"/>
              <w:rPr>
                <w:rFonts w:ascii="Arial" w:eastAsia="Arial" w:hAnsi="Arial" w:cs="Arial"/>
                <w:sz w:val="22"/>
                <w:szCs w:val="22"/>
              </w:rPr>
            </w:pPr>
            <w:r>
              <w:rPr>
                <w:sz w:val="20"/>
                <w:szCs w:val="20"/>
              </w:rPr>
              <w:t>-</w:t>
            </w:r>
          </w:p>
        </w:tc>
      </w:tr>
      <w:tr w:rsidR="00ED7F17" w:rsidTr="00ED7F17">
        <w:tc>
          <w:tcPr>
            <w:tcW w:w="734" w:type="dxa"/>
            <w:tcBorders>
              <w:top w:val="single" w:sz="4" w:space="0" w:color="00000A"/>
              <w:left w:val="single" w:sz="4" w:space="0" w:color="00000A"/>
              <w:bottom w:val="single" w:sz="4" w:space="0" w:color="00000A"/>
              <w:right w:val="nil"/>
            </w:tcBorders>
            <w:hideMark/>
          </w:tcPr>
          <w:p w:rsidR="00ED7F17" w:rsidRDefault="00ED7F17">
            <w:pPr>
              <w:spacing w:line="276" w:lineRule="auto"/>
              <w:jc w:val="center"/>
              <w:rPr>
                <w:rFonts w:ascii="Arial" w:eastAsia="Arial" w:hAnsi="Arial" w:cs="Arial"/>
                <w:sz w:val="22"/>
                <w:szCs w:val="22"/>
              </w:rPr>
            </w:pPr>
            <w:r>
              <w:rPr>
                <w:sz w:val="20"/>
                <w:szCs w:val="20"/>
              </w:rPr>
              <w:t>6</w:t>
            </w:r>
          </w:p>
        </w:tc>
        <w:tc>
          <w:tcPr>
            <w:tcW w:w="4133" w:type="dxa"/>
            <w:tcBorders>
              <w:top w:val="single" w:sz="4" w:space="0" w:color="00000A"/>
              <w:left w:val="single" w:sz="4" w:space="0" w:color="00000A"/>
              <w:bottom w:val="single" w:sz="4" w:space="0" w:color="00000A"/>
              <w:right w:val="nil"/>
            </w:tcBorders>
            <w:hideMark/>
          </w:tcPr>
          <w:p w:rsidR="00ED7F17" w:rsidRDefault="00ED7F17">
            <w:pPr>
              <w:spacing w:line="276" w:lineRule="auto"/>
              <w:rPr>
                <w:rFonts w:ascii="Arial" w:eastAsia="Arial" w:hAnsi="Arial" w:cs="Arial"/>
                <w:sz w:val="22"/>
                <w:szCs w:val="22"/>
              </w:rPr>
            </w:pPr>
            <w:r>
              <w:rPr>
                <w:sz w:val="20"/>
                <w:szCs w:val="20"/>
              </w:rPr>
              <w:t>ГБУЗ АО «Наримановская РБ»</w:t>
            </w:r>
          </w:p>
        </w:tc>
        <w:tc>
          <w:tcPr>
            <w:tcW w:w="2410" w:type="dxa"/>
            <w:tcBorders>
              <w:top w:val="single" w:sz="4" w:space="0" w:color="00000A"/>
              <w:left w:val="single" w:sz="4" w:space="0" w:color="00000A"/>
              <w:bottom w:val="single" w:sz="4" w:space="0" w:color="00000A"/>
              <w:right w:val="nil"/>
            </w:tcBorders>
            <w:hideMark/>
          </w:tcPr>
          <w:p w:rsidR="00ED7F17" w:rsidRDefault="00ED7F17">
            <w:pPr>
              <w:spacing w:line="276" w:lineRule="auto"/>
              <w:jc w:val="center"/>
              <w:rPr>
                <w:rFonts w:ascii="Arial" w:eastAsia="Arial" w:hAnsi="Arial" w:cs="Arial"/>
                <w:sz w:val="22"/>
                <w:szCs w:val="22"/>
              </w:rPr>
            </w:pPr>
            <w:r>
              <w:rPr>
                <w:sz w:val="20"/>
                <w:szCs w:val="20"/>
              </w:rPr>
              <w:t>13</w:t>
            </w:r>
          </w:p>
        </w:tc>
        <w:tc>
          <w:tcPr>
            <w:tcW w:w="2445" w:type="dxa"/>
            <w:tcBorders>
              <w:top w:val="single" w:sz="4" w:space="0" w:color="00000A"/>
              <w:left w:val="single" w:sz="4" w:space="0" w:color="00000A"/>
              <w:bottom w:val="single" w:sz="4" w:space="0" w:color="00000A"/>
              <w:right w:val="single" w:sz="4" w:space="0" w:color="00000A"/>
            </w:tcBorders>
            <w:hideMark/>
          </w:tcPr>
          <w:p w:rsidR="00ED7F17" w:rsidRDefault="00ED7F17">
            <w:pPr>
              <w:spacing w:line="276" w:lineRule="auto"/>
              <w:jc w:val="center"/>
              <w:rPr>
                <w:rFonts w:ascii="Arial" w:eastAsia="Arial" w:hAnsi="Arial" w:cs="Arial"/>
                <w:sz w:val="22"/>
                <w:szCs w:val="22"/>
              </w:rPr>
            </w:pPr>
            <w:r>
              <w:rPr>
                <w:sz w:val="20"/>
                <w:szCs w:val="20"/>
              </w:rPr>
              <w:t>13</w:t>
            </w:r>
          </w:p>
        </w:tc>
      </w:tr>
      <w:tr w:rsidR="00ED7F17" w:rsidTr="00ED7F17">
        <w:tc>
          <w:tcPr>
            <w:tcW w:w="734" w:type="dxa"/>
            <w:tcBorders>
              <w:top w:val="single" w:sz="4" w:space="0" w:color="00000A"/>
              <w:left w:val="single" w:sz="4" w:space="0" w:color="00000A"/>
              <w:bottom w:val="single" w:sz="4" w:space="0" w:color="00000A"/>
              <w:right w:val="nil"/>
            </w:tcBorders>
            <w:hideMark/>
          </w:tcPr>
          <w:p w:rsidR="00ED7F17" w:rsidRDefault="00ED7F17">
            <w:pPr>
              <w:spacing w:line="276" w:lineRule="auto"/>
              <w:jc w:val="center"/>
              <w:rPr>
                <w:rFonts w:ascii="Arial" w:eastAsia="Arial" w:hAnsi="Arial" w:cs="Arial"/>
                <w:sz w:val="22"/>
                <w:szCs w:val="22"/>
              </w:rPr>
            </w:pPr>
            <w:r>
              <w:rPr>
                <w:sz w:val="20"/>
                <w:szCs w:val="20"/>
              </w:rPr>
              <w:t>7</w:t>
            </w:r>
          </w:p>
        </w:tc>
        <w:tc>
          <w:tcPr>
            <w:tcW w:w="4133" w:type="dxa"/>
            <w:tcBorders>
              <w:top w:val="single" w:sz="4" w:space="0" w:color="00000A"/>
              <w:left w:val="single" w:sz="4" w:space="0" w:color="00000A"/>
              <w:bottom w:val="single" w:sz="4" w:space="0" w:color="00000A"/>
              <w:right w:val="nil"/>
            </w:tcBorders>
            <w:hideMark/>
          </w:tcPr>
          <w:p w:rsidR="00ED7F17" w:rsidRDefault="00ED7F17">
            <w:pPr>
              <w:spacing w:line="276" w:lineRule="auto"/>
              <w:rPr>
                <w:rFonts w:ascii="Arial" w:eastAsia="Arial" w:hAnsi="Arial" w:cs="Arial"/>
                <w:sz w:val="22"/>
                <w:szCs w:val="22"/>
              </w:rPr>
            </w:pPr>
            <w:r>
              <w:rPr>
                <w:sz w:val="20"/>
                <w:szCs w:val="20"/>
              </w:rPr>
              <w:t>ГБУЗ АО «Харабалинская РБ»</w:t>
            </w:r>
          </w:p>
        </w:tc>
        <w:tc>
          <w:tcPr>
            <w:tcW w:w="2410" w:type="dxa"/>
            <w:tcBorders>
              <w:top w:val="single" w:sz="4" w:space="0" w:color="00000A"/>
              <w:left w:val="single" w:sz="4" w:space="0" w:color="00000A"/>
              <w:bottom w:val="single" w:sz="4" w:space="0" w:color="00000A"/>
              <w:right w:val="nil"/>
            </w:tcBorders>
            <w:hideMark/>
          </w:tcPr>
          <w:p w:rsidR="00ED7F17" w:rsidRDefault="00ED7F17">
            <w:pPr>
              <w:spacing w:line="276" w:lineRule="auto"/>
              <w:jc w:val="center"/>
              <w:rPr>
                <w:rFonts w:ascii="Arial" w:eastAsia="Arial" w:hAnsi="Arial" w:cs="Arial"/>
                <w:sz w:val="22"/>
                <w:szCs w:val="22"/>
              </w:rPr>
            </w:pPr>
            <w:r>
              <w:rPr>
                <w:sz w:val="20"/>
                <w:szCs w:val="20"/>
              </w:rPr>
              <w:t>10</w:t>
            </w:r>
          </w:p>
        </w:tc>
        <w:tc>
          <w:tcPr>
            <w:tcW w:w="2445" w:type="dxa"/>
            <w:tcBorders>
              <w:top w:val="single" w:sz="4" w:space="0" w:color="00000A"/>
              <w:left w:val="single" w:sz="4" w:space="0" w:color="00000A"/>
              <w:bottom w:val="single" w:sz="4" w:space="0" w:color="00000A"/>
              <w:right w:val="single" w:sz="4" w:space="0" w:color="00000A"/>
            </w:tcBorders>
            <w:hideMark/>
          </w:tcPr>
          <w:p w:rsidR="00ED7F17" w:rsidRDefault="00ED7F17">
            <w:pPr>
              <w:spacing w:line="276" w:lineRule="auto"/>
              <w:jc w:val="center"/>
              <w:rPr>
                <w:rFonts w:ascii="Arial" w:eastAsia="Arial" w:hAnsi="Arial" w:cs="Arial"/>
                <w:sz w:val="22"/>
                <w:szCs w:val="22"/>
              </w:rPr>
            </w:pPr>
            <w:r>
              <w:rPr>
                <w:sz w:val="20"/>
                <w:szCs w:val="20"/>
              </w:rPr>
              <w:t>12</w:t>
            </w:r>
          </w:p>
        </w:tc>
      </w:tr>
      <w:tr w:rsidR="00ED7F17" w:rsidTr="00ED7F17">
        <w:tc>
          <w:tcPr>
            <w:tcW w:w="734" w:type="dxa"/>
            <w:tcBorders>
              <w:top w:val="single" w:sz="4" w:space="0" w:color="00000A"/>
              <w:left w:val="single" w:sz="4" w:space="0" w:color="00000A"/>
              <w:bottom w:val="single" w:sz="4" w:space="0" w:color="00000A"/>
              <w:right w:val="nil"/>
            </w:tcBorders>
            <w:hideMark/>
          </w:tcPr>
          <w:p w:rsidR="00ED7F17" w:rsidRDefault="00ED7F17">
            <w:pPr>
              <w:spacing w:line="276" w:lineRule="auto"/>
              <w:jc w:val="center"/>
              <w:rPr>
                <w:rFonts w:ascii="Arial" w:eastAsia="Arial" w:hAnsi="Arial" w:cs="Arial"/>
                <w:sz w:val="22"/>
                <w:szCs w:val="22"/>
              </w:rPr>
            </w:pPr>
            <w:r>
              <w:rPr>
                <w:sz w:val="20"/>
                <w:szCs w:val="20"/>
              </w:rPr>
              <w:t>8</w:t>
            </w:r>
          </w:p>
        </w:tc>
        <w:tc>
          <w:tcPr>
            <w:tcW w:w="4133" w:type="dxa"/>
            <w:tcBorders>
              <w:top w:val="single" w:sz="4" w:space="0" w:color="00000A"/>
              <w:left w:val="single" w:sz="4" w:space="0" w:color="00000A"/>
              <w:bottom w:val="single" w:sz="4" w:space="0" w:color="00000A"/>
              <w:right w:val="nil"/>
            </w:tcBorders>
            <w:hideMark/>
          </w:tcPr>
          <w:p w:rsidR="00ED7F17" w:rsidRDefault="00ED7F17">
            <w:pPr>
              <w:spacing w:line="276" w:lineRule="auto"/>
              <w:rPr>
                <w:rFonts w:ascii="Arial" w:eastAsia="Arial" w:hAnsi="Arial" w:cs="Arial"/>
                <w:sz w:val="22"/>
                <w:szCs w:val="22"/>
              </w:rPr>
            </w:pPr>
            <w:r>
              <w:rPr>
                <w:sz w:val="20"/>
                <w:szCs w:val="20"/>
              </w:rPr>
              <w:t>ГБУЗ АО «Черноярская РБ»</w:t>
            </w:r>
          </w:p>
        </w:tc>
        <w:tc>
          <w:tcPr>
            <w:tcW w:w="2410" w:type="dxa"/>
            <w:tcBorders>
              <w:top w:val="single" w:sz="4" w:space="0" w:color="00000A"/>
              <w:left w:val="single" w:sz="4" w:space="0" w:color="00000A"/>
              <w:bottom w:val="single" w:sz="4" w:space="0" w:color="00000A"/>
              <w:right w:val="nil"/>
            </w:tcBorders>
            <w:hideMark/>
          </w:tcPr>
          <w:p w:rsidR="00ED7F17" w:rsidRDefault="00ED7F17">
            <w:pPr>
              <w:spacing w:line="276" w:lineRule="auto"/>
              <w:jc w:val="center"/>
              <w:rPr>
                <w:rFonts w:ascii="Arial" w:eastAsia="Arial" w:hAnsi="Arial" w:cs="Arial"/>
                <w:sz w:val="22"/>
                <w:szCs w:val="22"/>
              </w:rPr>
            </w:pPr>
            <w:r>
              <w:rPr>
                <w:sz w:val="20"/>
                <w:szCs w:val="20"/>
              </w:rPr>
              <w:t>28</w:t>
            </w:r>
          </w:p>
        </w:tc>
        <w:tc>
          <w:tcPr>
            <w:tcW w:w="2445" w:type="dxa"/>
            <w:tcBorders>
              <w:top w:val="single" w:sz="4" w:space="0" w:color="00000A"/>
              <w:left w:val="single" w:sz="4" w:space="0" w:color="00000A"/>
              <w:bottom w:val="single" w:sz="4" w:space="0" w:color="00000A"/>
              <w:right w:val="single" w:sz="4" w:space="0" w:color="00000A"/>
            </w:tcBorders>
            <w:hideMark/>
          </w:tcPr>
          <w:p w:rsidR="00ED7F17" w:rsidRDefault="00ED7F17">
            <w:pPr>
              <w:spacing w:line="276" w:lineRule="auto"/>
              <w:jc w:val="center"/>
              <w:rPr>
                <w:rFonts w:ascii="Arial" w:eastAsia="Arial" w:hAnsi="Arial" w:cs="Arial"/>
                <w:sz w:val="22"/>
                <w:szCs w:val="22"/>
              </w:rPr>
            </w:pPr>
            <w:r>
              <w:rPr>
                <w:sz w:val="20"/>
                <w:szCs w:val="20"/>
              </w:rPr>
              <w:t>28</w:t>
            </w:r>
          </w:p>
        </w:tc>
      </w:tr>
      <w:tr w:rsidR="00ED7F17" w:rsidTr="00ED7F17">
        <w:tc>
          <w:tcPr>
            <w:tcW w:w="734" w:type="dxa"/>
            <w:tcBorders>
              <w:top w:val="single" w:sz="4" w:space="0" w:color="00000A"/>
              <w:left w:val="single" w:sz="4" w:space="0" w:color="00000A"/>
              <w:bottom w:val="single" w:sz="4" w:space="0" w:color="00000A"/>
              <w:right w:val="nil"/>
            </w:tcBorders>
            <w:hideMark/>
          </w:tcPr>
          <w:p w:rsidR="00ED7F17" w:rsidRDefault="00ED7F17">
            <w:pPr>
              <w:spacing w:line="276" w:lineRule="auto"/>
              <w:jc w:val="center"/>
              <w:rPr>
                <w:rFonts w:ascii="Arial" w:eastAsia="Arial" w:hAnsi="Arial" w:cs="Arial"/>
                <w:sz w:val="22"/>
                <w:szCs w:val="22"/>
              </w:rPr>
            </w:pPr>
            <w:r>
              <w:rPr>
                <w:sz w:val="20"/>
                <w:szCs w:val="20"/>
              </w:rPr>
              <w:t>9</w:t>
            </w:r>
          </w:p>
        </w:tc>
        <w:tc>
          <w:tcPr>
            <w:tcW w:w="4133" w:type="dxa"/>
            <w:tcBorders>
              <w:top w:val="single" w:sz="4" w:space="0" w:color="00000A"/>
              <w:left w:val="single" w:sz="4" w:space="0" w:color="00000A"/>
              <w:bottom w:val="single" w:sz="4" w:space="0" w:color="00000A"/>
              <w:right w:val="nil"/>
            </w:tcBorders>
            <w:hideMark/>
          </w:tcPr>
          <w:p w:rsidR="00ED7F17" w:rsidRDefault="00ED7F17">
            <w:pPr>
              <w:spacing w:line="276" w:lineRule="auto"/>
              <w:rPr>
                <w:rFonts w:ascii="Arial" w:eastAsia="Arial" w:hAnsi="Arial" w:cs="Arial"/>
                <w:sz w:val="22"/>
                <w:szCs w:val="22"/>
              </w:rPr>
            </w:pPr>
            <w:r>
              <w:rPr>
                <w:sz w:val="20"/>
                <w:szCs w:val="20"/>
              </w:rPr>
              <w:t>ГБУЗ АО «ГБ ЗАТО Знаменск»</w:t>
            </w:r>
          </w:p>
        </w:tc>
        <w:tc>
          <w:tcPr>
            <w:tcW w:w="2410" w:type="dxa"/>
            <w:tcBorders>
              <w:top w:val="single" w:sz="4" w:space="0" w:color="00000A"/>
              <w:left w:val="single" w:sz="4" w:space="0" w:color="00000A"/>
              <w:bottom w:val="single" w:sz="4" w:space="0" w:color="00000A"/>
              <w:right w:val="nil"/>
            </w:tcBorders>
            <w:hideMark/>
          </w:tcPr>
          <w:p w:rsidR="00ED7F17" w:rsidRDefault="00ED7F17">
            <w:pPr>
              <w:spacing w:line="276" w:lineRule="auto"/>
              <w:jc w:val="center"/>
              <w:rPr>
                <w:rFonts w:ascii="Arial" w:eastAsia="Arial" w:hAnsi="Arial" w:cs="Arial"/>
                <w:sz w:val="22"/>
                <w:szCs w:val="22"/>
              </w:rPr>
            </w:pPr>
            <w:r>
              <w:rPr>
                <w:sz w:val="20"/>
                <w:szCs w:val="20"/>
              </w:rPr>
              <w:t>29</w:t>
            </w:r>
          </w:p>
        </w:tc>
        <w:tc>
          <w:tcPr>
            <w:tcW w:w="2445" w:type="dxa"/>
            <w:tcBorders>
              <w:top w:val="single" w:sz="4" w:space="0" w:color="00000A"/>
              <w:left w:val="single" w:sz="4" w:space="0" w:color="00000A"/>
              <w:bottom w:val="single" w:sz="4" w:space="0" w:color="00000A"/>
              <w:right w:val="single" w:sz="4" w:space="0" w:color="00000A"/>
            </w:tcBorders>
            <w:hideMark/>
          </w:tcPr>
          <w:p w:rsidR="00ED7F17" w:rsidRDefault="00ED7F17">
            <w:pPr>
              <w:spacing w:line="276" w:lineRule="auto"/>
              <w:jc w:val="center"/>
              <w:rPr>
                <w:rFonts w:ascii="Arial" w:eastAsia="Arial" w:hAnsi="Arial" w:cs="Arial"/>
                <w:sz w:val="22"/>
                <w:szCs w:val="22"/>
              </w:rPr>
            </w:pPr>
            <w:r>
              <w:rPr>
                <w:sz w:val="20"/>
                <w:szCs w:val="20"/>
              </w:rPr>
              <w:t>29</w:t>
            </w:r>
          </w:p>
        </w:tc>
      </w:tr>
      <w:tr w:rsidR="00ED7F17" w:rsidTr="00ED7F17">
        <w:tc>
          <w:tcPr>
            <w:tcW w:w="734" w:type="dxa"/>
            <w:tcBorders>
              <w:top w:val="single" w:sz="4" w:space="0" w:color="00000A"/>
              <w:left w:val="single" w:sz="4" w:space="0" w:color="00000A"/>
              <w:bottom w:val="single" w:sz="4" w:space="0" w:color="00000A"/>
              <w:right w:val="nil"/>
            </w:tcBorders>
            <w:hideMark/>
          </w:tcPr>
          <w:p w:rsidR="00ED7F17" w:rsidRDefault="00ED7F17">
            <w:pPr>
              <w:spacing w:line="276" w:lineRule="auto"/>
              <w:jc w:val="center"/>
              <w:rPr>
                <w:rFonts w:ascii="Arial" w:eastAsia="Arial" w:hAnsi="Arial" w:cs="Arial"/>
                <w:sz w:val="22"/>
                <w:szCs w:val="22"/>
              </w:rPr>
            </w:pPr>
            <w:r>
              <w:rPr>
                <w:sz w:val="20"/>
                <w:szCs w:val="20"/>
              </w:rPr>
              <w:t>10</w:t>
            </w:r>
          </w:p>
        </w:tc>
        <w:tc>
          <w:tcPr>
            <w:tcW w:w="4133" w:type="dxa"/>
            <w:tcBorders>
              <w:top w:val="single" w:sz="4" w:space="0" w:color="00000A"/>
              <w:left w:val="single" w:sz="4" w:space="0" w:color="00000A"/>
              <w:bottom w:val="single" w:sz="4" w:space="0" w:color="00000A"/>
              <w:right w:val="nil"/>
            </w:tcBorders>
            <w:hideMark/>
          </w:tcPr>
          <w:p w:rsidR="00ED7F17" w:rsidRDefault="00ED7F17">
            <w:pPr>
              <w:spacing w:line="276" w:lineRule="auto"/>
              <w:rPr>
                <w:rFonts w:ascii="Arial" w:eastAsia="Arial" w:hAnsi="Arial" w:cs="Arial"/>
                <w:sz w:val="22"/>
                <w:szCs w:val="22"/>
              </w:rPr>
            </w:pPr>
            <w:r>
              <w:rPr>
                <w:sz w:val="20"/>
                <w:szCs w:val="20"/>
              </w:rPr>
              <w:t>ГБУЗ АО «ГКБ № 2 им. братьев Губиных»</w:t>
            </w:r>
          </w:p>
        </w:tc>
        <w:tc>
          <w:tcPr>
            <w:tcW w:w="2410" w:type="dxa"/>
            <w:tcBorders>
              <w:top w:val="single" w:sz="4" w:space="0" w:color="00000A"/>
              <w:left w:val="single" w:sz="4" w:space="0" w:color="00000A"/>
              <w:bottom w:val="single" w:sz="4" w:space="0" w:color="00000A"/>
              <w:right w:val="nil"/>
            </w:tcBorders>
            <w:hideMark/>
          </w:tcPr>
          <w:p w:rsidR="00ED7F17" w:rsidRDefault="00ED7F17">
            <w:pPr>
              <w:spacing w:line="276" w:lineRule="auto"/>
              <w:jc w:val="center"/>
              <w:rPr>
                <w:rFonts w:ascii="Arial" w:eastAsia="Arial" w:hAnsi="Arial" w:cs="Arial"/>
                <w:sz w:val="22"/>
                <w:szCs w:val="22"/>
              </w:rPr>
            </w:pPr>
            <w:r>
              <w:rPr>
                <w:sz w:val="20"/>
                <w:szCs w:val="20"/>
              </w:rPr>
              <w:t>97</w:t>
            </w:r>
          </w:p>
        </w:tc>
        <w:tc>
          <w:tcPr>
            <w:tcW w:w="2445" w:type="dxa"/>
            <w:tcBorders>
              <w:top w:val="single" w:sz="4" w:space="0" w:color="00000A"/>
              <w:left w:val="single" w:sz="4" w:space="0" w:color="00000A"/>
              <w:bottom w:val="single" w:sz="4" w:space="0" w:color="00000A"/>
              <w:right w:val="single" w:sz="4" w:space="0" w:color="00000A"/>
            </w:tcBorders>
            <w:hideMark/>
          </w:tcPr>
          <w:p w:rsidR="00ED7F17" w:rsidRDefault="00ED7F17">
            <w:pPr>
              <w:spacing w:line="276" w:lineRule="auto"/>
              <w:jc w:val="center"/>
              <w:rPr>
                <w:rFonts w:ascii="Arial" w:eastAsia="Arial" w:hAnsi="Arial" w:cs="Arial"/>
                <w:sz w:val="22"/>
                <w:szCs w:val="22"/>
              </w:rPr>
            </w:pPr>
            <w:r>
              <w:rPr>
                <w:sz w:val="20"/>
                <w:szCs w:val="20"/>
              </w:rPr>
              <w:t>77</w:t>
            </w:r>
          </w:p>
        </w:tc>
      </w:tr>
      <w:tr w:rsidR="00ED7F17" w:rsidTr="00ED7F17">
        <w:tc>
          <w:tcPr>
            <w:tcW w:w="734" w:type="dxa"/>
            <w:tcBorders>
              <w:top w:val="single" w:sz="4" w:space="0" w:color="00000A"/>
              <w:left w:val="single" w:sz="4" w:space="0" w:color="00000A"/>
              <w:bottom w:val="single" w:sz="4" w:space="0" w:color="00000A"/>
              <w:right w:val="nil"/>
            </w:tcBorders>
            <w:hideMark/>
          </w:tcPr>
          <w:p w:rsidR="00ED7F17" w:rsidRDefault="00ED7F17">
            <w:pPr>
              <w:spacing w:line="276" w:lineRule="auto"/>
              <w:jc w:val="center"/>
              <w:rPr>
                <w:rFonts w:ascii="Arial" w:eastAsia="Arial" w:hAnsi="Arial" w:cs="Arial"/>
                <w:sz w:val="22"/>
                <w:szCs w:val="22"/>
              </w:rPr>
            </w:pPr>
            <w:r>
              <w:rPr>
                <w:sz w:val="20"/>
                <w:szCs w:val="20"/>
              </w:rPr>
              <w:t>11</w:t>
            </w:r>
          </w:p>
        </w:tc>
        <w:tc>
          <w:tcPr>
            <w:tcW w:w="4133" w:type="dxa"/>
            <w:tcBorders>
              <w:top w:val="single" w:sz="4" w:space="0" w:color="00000A"/>
              <w:left w:val="single" w:sz="4" w:space="0" w:color="00000A"/>
              <w:bottom w:val="single" w:sz="4" w:space="0" w:color="00000A"/>
              <w:right w:val="nil"/>
            </w:tcBorders>
            <w:hideMark/>
          </w:tcPr>
          <w:p w:rsidR="00ED7F17" w:rsidRDefault="00ED7F17">
            <w:pPr>
              <w:spacing w:line="276" w:lineRule="auto"/>
              <w:rPr>
                <w:rFonts w:ascii="Arial" w:eastAsia="Arial" w:hAnsi="Arial" w:cs="Arial"/>
                <w:sz w:val="22"/>
                <w:szCs w:val="22"/>
              </w:rPr>
            </w:pPr>
            <w:r>
              <w:rPr>
                <w:sz w:val="20"/>
                <w:szCs w:val="20"/>
              </w:rPr>
              <w:t>ГБУЗ АО «ГКБ № 3 им. С.М.Кирова»</w:t>
            </w:r>
          </w:p>
        </w:tc>
        <w:tc>
          <w:tcPr>
            <w:tcW w:w="2410" w:type="dxa"/>
            <w:tcBorders>
              <w:top w:val="single" w:sz="4" w:space="0" w:color="00000A"/>
              <w:left w:val="single" w:sz="4" w:space="0" w:color="00000A"/>
              <w:bottom w:val="single" w:sz="4" w:space="0" w:color="00000A"/>
              <w:right w:val="nil"/>
            </w:tcBorders>
            <w:hideMark/>
          </w:tcPr>
          <w:p w:rsidR="00ED7F17" w:rsidRDefault="00ED7F17">
            <w:pPr>
              <w:spacing w:line="276" w:lineRule="auto"/>
              <w:jc w:val="center"/>
              <w:rPr>
                <w:rFonts w:ascii="Arial" w:eastAsia="Arial" w:hAnsi="Arial" w:cs="Arial"/>
                <w:sz w:val="22"/>
                <w:szCs w:val="22"/>
              </w:rPr>
            </w:pPr>
            <w:r>
              <w:rPr>
                <w:sz w:val="20"/>
                <w:szCs w:val="20"/>
              </w:rPr>
              <w:t>25</w:t>
            </w:r>
          </w:p>
        </w:tc>
        <w:tc>
          <w:tcPr>
            <w:tcW w:w="2445" w:type="dxa"/>
            <w:tcBorders>
              <w:top w:val="single" w:sz="4" w:space="0" w:color="00000A"/>
              <w:left w:val="single" w:sz="4" w:space="0" w:color="00000A"/>
              <w:bottom w:val="single" w:sz="4" w:space="0" w:color="00000A"/>
              <w:right w:val="single" w:sz="4" w:space="0" w:color="00000A"/>
            </w:tcBorders>
            <w:hideMark/>
          </w:tcPr>
          <w:p w:rsidR="00ED7F17" w:rsidRDefault="00ED7F17">
            <w:pPr>
              <w:spacing w:line="276" w:lineRule="auto"/>
              <w:jc w:val="center"/>
              <w:rPr>
                <w:rFonts w:ascii="Arial" w:eastAsia="Arial" w:hAnsi="Arial" w:cs="Arial"/>
                <w:sz w:val="22"/>
                <w:szCs w:val="22"/>
              </w:rPr>
            </w:pPr>
            <w:r>
              <w:rPr>
                <w:sz w:val="20"/>
                <w:szCs w:val="20"/>
              </w:rPr>
              <w:t>16</w:t>
            </w:r>
          </w:p>
        </w:tc>
      </w:tr>
      <w:tr w:rsidR="00ED7F17" w:rsidTr="00ED7F17">
        <w:tc>
          <w:tcPr>
            <w:tcW w:w="734" w:type="dxa"/>
            <w:tcBorders>
              <w:top w:val="single" w:sz="4" w:space="0" w:color="00000A"/>
              <w:left w:val="single" w:sz="4" w:space="0" w:color="00000A"/>
              <w:bottom w:val="single" w:sz="4" w:space="0" w:color="00000A"/>
              <w:right w:val="nil"/>
            </w:tcBorders>
          </w:tcPr>
          <w:p w:rsidR="00ED7F17" w:rsidRDefault="00ED7F17">
            <w:pPr>
              <w:snapToGrid w:val="0"/>
              <w:spacing w:line="276" w:lineRule="auto"/>
              <w:jc w:val="center"/>
              <w:rPr>
                <w:rFonts w:eastAsia="Arial"/>
                <w:sz w:val="20"/>
                <w:szCs w:val="20"/>
              </w:rPr>
            </w:pPr>
          </w:p>
        </w:tc>
        <w:tc>
          <w:tcPr>
            <w:tcW w:w="4133" w:type="dxa"/>
            <w:tcBorders>
              <w:top w:val="single" w:sz="4" w:space="0" w:color="00000A"/>
              <w:left w:val="single" w:sz="4" w:space="0" w:color="00000A"/>
              <w:bottom w:val="single" w:sz="4" w:space="0" w:color="00000A"/>
              <w:right w:val="nil"/>
            </w:tcBorders>
            <w:hideMark/>
          </w:tcPr>
          <w:p w:rsidR="00ED7F17" w:rsidRDefault="00ED7F17">
            <w:pPr>
              <w:spacing w:line="276" w:lineRule="auto"/>
              <w:rPr>
                <w:rFonts w:ascii="Arial" w:eastAsia="Arial" w:hAnsi="Arial" w:cs="Arial"/>
                <w:sz w:val="22"/>
                <w:szCs w:val="22"/>
              </w:rPr>
            </w:pPr>
            <w:r>
              <w:rPr>
                <w:b/>
                <w:sz w:val="20"/>
                <w:szCs w:val="20"/>
              </w:rPr>
              <w:t>Всего:</w:t>
            </w:r>
          </w:p>
        </w:tc>
        <w:tc>
          <w:tcPr>
            <w:tcW w:w="2410" w:type="dxa"/>
            <w:tcBorders>
              <w:top w:val="single" w:sz="4" w:space="0" w:color="00000A"/>
              <w:left w:val="single" w:sz="4" w:space="0" w:color="00000A"/>
              <w:bottom w:val="single" w:sz="4" w:space="0" w:color="00000A"/>
              <w:right w:val="nil"/>
            </w:tcBorders>
            <w:hideMark/>
          </w:tcPr>
          <w:p w:rsidR="00ED7F17" w:rsidRDefault="00ED7F17">
            <w:pPr>
              <w:spacing w:line="276" w:lineRule="auto"/>
              <w:jc w:val="center"/>
              <w:rPr>
                <w:rFonts w:ascii="Arial" w:eastAsia="Arial" w:hAnsi="Arial" w:cs="Arial"/>
                <w:sz w:val="22"/>
                <w:szCs w:val="22"/>
              </w:rPr>
            </w:pPr>
            <w:r>
              <w:rPr>
                <w:b/>
                <w:sz w:val="20"/>
                <w:szCs w:val="20"/>
              </w:rPr>
              <w:t>273</w:t>
            </w:r>
          </w:p>
        </w:tc>
        <w:tc>
          <w:tcPr>
            <w:tcW w:w="2445" w:type="dxa"/>
            <w:tcBorders>
              <w:top w:val="single" w:sz="4" w:space="0" w:color="00000A"/>
              <w:left w:val="single" w:sz="4" w:space="0" w:color="00000A"/>
              <w:bottom w:val="single" w:sz="4" w:space="0" w:color="00000A"/>
              <w:right w:val="single" w:sz="4" w:space="0" w:color="00000A"/>
            </w:tcBorders>
            <w:hideMark/>
          </w:tcPr>
          <w:p w:rsidR="00ED7F17" w:rsidRDefault="00ED7F17">
            <w:pPr>
              <w:spacing w:line="276" w:lineRule="auto"/>
              <w:jc w:val="center"/>
              <w:rPr>
                <w:rFonts w:ascii="Arial" w:eastAsia="Arial" w:hAnsi="Arial" w:cs="Arial"/>
                <w:sz w:val="22"/>
                <w:szCs w:val="22"/>
              </w:rPr>
            </w:pPr>
            <w:r>
              <w:rPr>
                <w:b/>
                <w:sz w:val="20"/>
                <w:szCs w:val="20"/>
              </w:rPr>
              <w:t>287</w:t>
            </w:r>
          </w:p>
        </w:tc>
      </w:tr>
    </w:tbl>
    <w:p w:rsidR="00ED7F17" w:rsidRDefault="00ED7F17" w:rsidP="00ED7F17">
      <w:pPr>
        <w:ind w:right="-1" w:firstLine="708"/>
        <w:contextualSpacing/>
        <w:jc w:val="both"/>
        <w:rPr>
          <w:color w:val="000000"/>
        </w:rPr>
      </w:pPr>
    </w:p>
    <w:p w:rsidR="00ED7F17" w:rsidRDefault="00ED7F17" w:rsidP="00ED7F17">
      <w:pPr>
        <w:ind w:right="-1" w:firstLine="708"/>
        <w:contextualSpacing/>
        <w:jc w:val="both"/>
        <w:rPr>
          <w:rFonts w:ascii="Arial" w:eastAsia="Arial" w:hAnsi="Arial" w:cs="Arial"/>
          <w:sz w:val="22"/>
          <w:szCs w:val="22"/>
        </w:rPr>
      </w:pPr>
      <w:r>
        <w:rPr>
          <w:color w:val="000000"/>
        </w:rPr>
        <w:t>Коечный фонд и объемы паллиативной медицинской помощи в Астраханской области определены в соответствии с федеральными нормативами. Утвержденный для государственных учреждений здравоохранения Астраханской области объем паллиативной медицинской помощи составляет 0,092 койко-дня на 1 жителя.</w:t>
      </w:r>
    </w:p>
    <w:p w:rsidR="00ED7F17" w:rsidRDefault="00ED7F17" w:rsidP="00ED7F17">
      <w:pPr>
        <w:ind w:right="-1" w:firstLine="708"/>
        <w:contextualSpacing/>
        <w:jc w:val="both"/>
        <w:rPr>
          <w:color w:val="000000"/>
        </w:rPr>
      </w:pPr>
    </w:p>
    <w:p w:rsidR="00ED7F17" w:rsidRDefault="00ED7F17" w:rsidP="00ED7F17">
      <w:pPr>
        <w:jc w:val="center"/>
        <w:rPr>
          <w:rFonts w:ascii="Arial" w:eastAsia="Arial" w:hAnsi="Arial" w:cs="Arial"/>
          <w:sz w:val="22"/>
          <w:szCs w:val="22"/>
        </w:rPr>
      </w:pPr>
      <w:r>
        <w:rPr>
          <w:b/>
        </w:rPr>
        <w:t>Объем оказанной паллиативной медицинской помощи</w:t>
      </w:r>
    </w:p>
    <w:p w:rsidR="00ED7F17" w:rsidRDefault="00ED7F17" w:rsidP="00ED7F17">
      <w:pPr>
        <w:jc w:val="center"/>
      </w:pPr>
      <w:r>
        <w:rPr>
          <w:b/>
        </w:rPr>
        <w:t>в амбулаторных условиях за 2018 год</w:t>
      </w:r>
    </w:p>
    <w:tbl>
      <w:tblPr>
        <w:tblW w:w="0" w:type="auto"/>
        <w:tblInd w:w="-30" w:type="dxa"/>
        <w:tblLayout w:type="fixed"/>
        <w:tblCellMar>
          <w:left w:w="88" w:type="dxa"/>
        </w:tblCellMar>
        <w:tblLook w:val="04A0" w:firstRow="1" w:lastRow="0" w:firstColumn="1" w:lastColumn="0" w:noHBand="0" w:noVBand="1"/>
      </w:tblPr>
      <w:tblGrid>
        <w:gridCol w:w="4720"/>
        <w:gridCol w:w="1033"/>
        <w:gridCol w:w="1335"/>
        <w:gridCol w:w="2806"/>
      </w:tblGrid>
      <w:tr w:rsidR="00ED7F17" w:rsidTr="00ED7F17">
        <w:trPr>
          <w:trHeight w:val="354"/>
        </w:trPr>
        <w:tc>
          <w:tcPr>
            <w:tcW w:w="4720" w:type="dxa"/>
            <w:vMerge w:val="restart"/>
            <w:tcBorders>
              <w:top w:val="single" w:sz="8" w:space="0" w:color="00000A"/>
              <w:left w:val="single" w:sz="8" w:space="0" w:color="00000A"/>
              <w:bottom w:val="single" w:sz="8" w:space="0" w:color="000001"/>
              <w:right w:val="nil"/>
            </w:tcBorders>
            <w:shd w:val="clear" w:color="auto" w:fill="FFFFFF"/>
            <w:vAlign w:val="center"/>
            <w:hideMark/>
          </w:tcPr>
          <w:p w:rsidR="00ED7F17" w:rsidRDefault="00ED7F17">
            <w:pPr>
              <w:spacing w:line="276" w:lineRule="auto"/>
              <w:jc w:val="center"/>
              <w:rPr>
                <w:rFonts w:ascii="Arial" w:eastAsia="Arial" w:hAnsi="Arial" w:cs="Arial"/>
                <w:sz w:val="22"/>
                <w:szCs w:val="22"/>
              </w:rPr>
            </w:pPr>
            <w:r>
              <w:rPr>
                <w:sz w:val="20"/>
                <w:szCs w:val="20"/>
              </w:rPr>
              <w:t>Структурные подразделения</w:t>
            </w:r>
          </w:p>
        </w:tc>
        <w:tc>
          <w:tcPr>
            <w:tcW w:w="5174" w:type="dxa"/>
            <w:gridSpan w:val="3"/>
            <w:tcBorders>
              <w:top w:val="single" w:sz="8" w:space="0" w:color="00000A"/>
              <w:left w:val="single" w:sz="8" w:space="0" w:color="00000A"/>
              <w:bottom w:val="single" w:sz="8" w:space="0" w:color="00000A"/>
              <w:right w:val="single" w:sz="8" w:space="0" w:color="000001"/>
            </w:tcBorders>
            <w:shd w:val="clear" w:color="auto" w:fill="FFFFFF"/>
            <w:hideMark/>
          </w:tcPr>
          <w:p w:rsidR="00ED7F17" w:rsidRDefault="00ED7F17">
            <w:pPr>
              <w:spacing w:line="276" w:lineRule="auto"/>
              <w:jc w:val="center"/>
              <w:rPr>
                <w:rFonts w:ascii="Arial" w:eastAsia="Arial" w:hAnsi="Arial" w:cs="Arial"/>
                <w:sz w:val="22"/>
                <w:szCs w:val="22"/>
              </w:rPr>
            </w:pPr>
            <w:r>
              <w:rPr>
                <w:sz w:val="20"/>
                <w:szCs w:val="20"/>
              </w:rPr>
              <w:t>Посещений, ед</w:t>
            </w:r>
          </w:p>
        </w:tc>
      </w:tr>
      <w:tr w:rsidR="00ED7F17" w:rsidTr="00ED7F17">
        <w:trPr>
          <w:trHeight w:val="809"/>
        </w:trPr>
        <w:tc>
          <w:tcPr>
            <w:tcW w:w="4720" w:type="dxa"/>
            <w:vMerge/>
            <w:tcBorders>
              <w:top w:val="single" w:sz="8" w:space="0" w:color="00000A"/>
              <w:left w:val="single" w:sz="8" w:space="0" w:color="00000A"/>
              <w:bottom w:val="single" w:sz="8" w:space="0" w:color="000001"/>
              <w:right w:val="nil"/>
            </w:tcBorders>
            <w:vAlign w:val="center"/>
            <w:hideMark/>
          </w:tcPr>
          <w:p w:rsidR="00ED7F17" w:rsidRDefault="00ED7F17">
            <w:pPr>
              <w:suppressAutoHyphens w:val="0"/>
              <w:rPr>
                <w:rFonts w:ascii="Arial" w:eastAsia="Arial" w:hAnsi="Arial" w:cs="Arial"/>
                <w:sz w:val="22"/>
                <w:szCs w:val="22"/>
              </w:rPr>
            </w:pPr>
          </w:p>
        </w:tc>
        <w:tc>
          <w:tcPr>
            <w:tcW w:w="1033" w:type="dxa"/>
            <w:tcBorders>
              <w:top w:val="single" w:sz="8" w:space="0" w:color="000080"/>
              <w:left w:val="single" w:sz="8" w:space="0" w:color="000080"/>
              <w:bottom w:val="single" w:sz="8" w:space="0" w:color="000080"/>
              <w:right w:val="nil"/>
            </w:tcBorders>
            <w:shd w:val="clear" w:color="auto" w:fill="FFFFFF"/>
            <w:vAlign w:val="center"/>
            <w:hideMark/>
          </w:tcPr>
          <w:p w:rsidR="00ED7F17" w:rsidRDefault="00ED7F17">
            <w:pPr>
              <w:spacing w:line="276" w:lineRule="auto"/>
              <w:jc w:val="center"/>
              <w:rPr>
                <w:rFonts w:ascii="Arial" w:eastAsia="Arial" w:hAnsi="Arial" w:cs="Arial"/>
                <w:sz w:val="22"/>
                <w:szCs w:val="22"/>
              </w:rPr>
            </w:pPr>
            <w:r>
              <w:rPr>
                <w:sz w:val="20"/>
                <w:szCs w:val="20"/>
              </w:rPr>
              <w:t>Всего</w:t>
            </w:r>
          </w:p>
        </w:tc>
        <w:tc>
          <w:tcPr>
            <w:tcW w:w="1335" w:type="dxa"/>
            <w:tcBorders>
              <w:top w:val="single" w:sz="8" w:space="0" w:color="000080"/>
              <w:left w:val="single" w:sz="8" w:space="0" w:color="000080"/>
              <w:bottom w:val="single" w:sz="8" w:space="0" w:color="000080"/>
              <w:right w:val="nil"/>
            </w:tcBorders>
            <w:shd w:val="clear" w:color="auto" w:fill="FFFFFF"/>
            <w:vAlign w:val="center"/>
            <w:hideMark/>
          </w:tcPr>
          <w:p w:rsidR="00ED7F17" w:rsidRDefault="00ED7F17">
            <w:pPr>
              <w:spacing w:line="276" w:lineRule="auto"/>
              <w:jc w:val="center"/>
              <w:rPr>
                <w:rFonts w:ascii="Arial" w:eastAsia="Arial" w:hAnsi="Arial" w:cs="Arial"/>
                <w:sz w:val="22"/>
                <w:szCs w:val="22"/>
              </w:rPr>
            </w:pPr>
            <w:r>
              <w:rPr>
                <w:sz w:val="20"/>
                <w:szCs w:val="20"/>
              </w:rPr>
              <w:t>в том числе на дому</w:t>
            </w:r>
          </w:p>
        </w:tc>
        <w:tc>
          <w:tcPr>
            <w:tcW w:w="2806" w:type="dxa"/>
            <w:tcBorders>
              <w:top w:val="single" w:sz="8" w:space="0" w:color="000080"/>
              <w:left w:val="single" w:sz="8" w:space="0" w:color="000080"/>
              <w:bottom w:val="single" w:sz="8" w:space="0" w:color="000080"/>
              <w:right w:val="single" w:sz="8" w:space="0" w:color="000080"/>
            </w:tcBorders>
            <w:shd w:val="clear" w:color="auto" w:fill="FFFFFF"/>
            <w:vAlign w:val="bottom"/>
            <w:hideMark/>
          </w:tcPr>
          <w:p w:rsidR="00ED7F17" w:rsidRDefault="00ED7F17">
            <w:pPr>
              <w:spacing w:line="276" w:lineRule="auto"/>
              <w:jc w:val="center"/>
              <w:rPr>
                <w:rFonts w:ascii="Arial" w:eastAsia="Arial" w:hAnsi="Arial" w:cs="Arial"/>
                <w:sz w:val="22"/>
                <w:szCs w:val="22"/>
              </w:rPr>
            </w:pPr>
            <w:r>
              <w:rPr>
                <w:sz w:val="20"/>
                <w:szCs w:val="20"/>
              </w:rPr>
              <w:t>из них к пациентам получающим респираторную поддержку на дому</w:t>
            </w:r>
          </w:p>
        </w:tc>
      </w:tr>
      <w:tr w:rsidR="00ED7F17" w:rsidTr="00ED7F17">
        <w:trPr>
          <w:trHeight w:val="300"/>
        </w:trPr>
        <w:tc>
          <w:tcPr>
            <w:tcW w:w="4720"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spacing w:line="276" w:lineRule="auto"/>
              <w:jc w:val="center"/>
              <w:rPr>
                <w:rFonts w:ascii="Arial" w:eastAsia="Arial" w:hAnsi="Arial" w:cs="Arial"/>
                <w:sz w:val="22"/>
                <w:szCs w:val="22"/>
              </w:rPr>
            </w:pPr>
            <w:r>
              <w:rPr>
                <w:b/>
                <w:bCs/>
                <w:sz w:val="20"/>
                <w:szCs w:val="20"/>
              </w:rPr>
              <w:t>1</w:t>
            </w:r>
          </w:p>
        </w:tc>
        <w:tc>
          <w:tcPr>
            <w:tcW w:w="1033"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spacing w:line="276" w:lineRule="auto"/>
              <w:jc w:val="center"/>
              <w:rPr>
                <w:rFonts w:ascii="Arial" w:eastAsia="Arial" w:hAnsi="Arial" w:cs="Arial"/>
                <w:sz w:val="22"/>
                <w:szCs w:val="22"/>
              </w:rPr>
            </w:pPr>
            <w:r>
              <w:rPr>
                <w:b/>
                <w:bCs/>
                <w:sz w:val="20"/>
                <w:szCs w:val="20"/>
              </w:rPr>
              <w:t>3</w:t>
            </w:r>
          </w:p>
        </w:tc>
        <w:tc>
          <w:tcPr>
            <w:tcW w:w="1335" w:type="dxa"/>
            <w:tcBorders>
              <w:top w:val="single" w:sz="8" w:space="0" w:color="000080"/>
              <w:left w:val="single" w:sz="8" w:space="0" w:color="000080"/>
              <w:bottom w:val="single" w:sz="8" w:space="0" w:color="000080"/>
              <w:right w:val="nil"/>
            </w:tcBorders>
            <w:shd w:val="clear" w:color="auto" w:fill="FFFFFF"/>
            <w:vAlign w:val="bottom"/>
            <w:hideMark/>
          </w:tcPr>
          <w:p w:rsidR="00ED7F17" w:rsidRDefault="00ED7F17">
            <w:pPr>
              <w:spacing w:line="276" w:lineRule="auto"/>
              <w:jc w:val="center"/>
              <w:rPr>
                <w:rFonts w:ascii="Arial" w:eastAsia="Arial" w:hAnsi="Arial" w:cs="Arial"/>
                <w:sz w:val="22"/>
                <w:szCs w:val="22"/>
              </w:rPr>
            </w:pPr>
            <w:r>
              <w:rPr>
                <w:b/>
                <w:bCs/>
                <w:sz w:val="20"/>
                <w:szCs w:val="20"/>
              </w:rPr>
              <w:t>4</w:t>
            </w:r>
          </w:p>
        </w:tc>
        <w:tc>
          <w:tcPr>
            <w:tcW w:w="2806" w:type="dxa"/>
            <w:tcBorders>
              <w:top w:val="single" w:sz="8" w:space="0" w:color="000080"/>
              <w:left w:val="single" w:sz="8" w:space="0" w:color="000080"/>
              <w:bottom w:val="single" w:sz="8" w:space="0" w:color="000080"/>
              <w:right w:val="single" w:sz="8" w:space="0" w:color="000080"/>
            </w:tcBorders>
            <w:shd w:val="clear" w:color="auto" w:fill="FFFFFF"/>
            <w:vAlign w:val="bottom"/>
            <w:hideMark/>
          </w:tcPr>
          <w:p w:rsidR="00ED7F17" w:rsidRDefault="00ED7F17">
            <w:pPr>
              <w:spacing w:line="276" w:lineRule="auto"/>
              <w:jc w:val="center"/>
              <w:rPr>
                <w:rFonts w:ascii="Arial" w:eastAsia="Arial" w:hAnsi="Arial" w:cs="Arial"/>
                <w:sz w:val="22"/>
                <w:szCs w:val="22"/>
              </w:rPr>
            </w:pPr>
            <w:r>
              <w:rPr>
                <w:b/>
                <w:bCs/>
                <w:sz w:val="20"/>
                <w:szCs w:val="20"/>
              </w:rPr>
              <w:t>5</w:t>
            </w:r>
          </w:p>
        </w:tc>
      </w:tr>
      <w:tr w:rsidR="00ED7F17" w:rsidTr="00ED7F17">
        <w:trPr>
          <w:trHeight w:val="439"/>
        </w:trPr>
        <w:tc>
          <w:tcPr>
            <w:tcW w:w="4720" w:type="dxa"/>
            <w:tcBorders>
              <w:top w:val="single" w:sz="8" w:space="0" w:color="000080"/>
              <w:left w:val="single" w:sz="8" w:space="0" w:color="000080"/>
              <w:bottom w:val="single" w:sz="8" w:space="0" w:color="000080"/>
              <w:right w:val="nil"/>
            </w:tcBorders>
            <w:shd w:val="clear" w:color="auto" w:fill="FFFFFF"/>
            <w:vAlign w:val="center"/>
            <w:hideMark/>
          </w:tcPr>
          <w:p w:rsidR="00ED7F17" w:rsidRDefault="00ED7F17">
            <w:pPr>
              <w:spacing w:line="276" w:lineRule="auto"/>
              <w:rPr>
                <w:rFonts w:ascii="Arial" w:eastAsia="Arial" w:hAnsi="Arial" w:cs="Arial"/>
                <w:sz w:val="22"/>
                <w:szCs w:val="22"/>
              </w:rPr>
            </w:pPr>
            <w:r>
              <w:rPr>
                <w:sz w:val="20"/>
                <w:szCs w:val="20"/>
              </w:rPr>
              <w:t>Кабинеты паллиативной медицинской помощи для взрослого населения</w:t>
            </w:r>
          </w:p>
        </w:tc>
        <w:tc>
          <w:tcPr>
            <w:tcW w:w="1033" w:type="dxa"/>
            <w:tcBorders>
              <w:top w:val="single" w:sz="8" w:space="0" w:color="000080"/>
              <w:left w:val="single" w:sz="8" w:space="0" w:color="000080"/>
              <w:bottom w:val="single" w:sz="8" w:space="0" w:color="000080"/>
              <w:right w:val="nil"/>
            </w:tcBorders>
            <w:shd w:val="clear" w:color="auto" w:fill="FFFFFF"/>
            <w:vAlign w:val="center"/>
            <w:hideMark/>
          </w:tcPr>
          <w:p w:rsidR="00ED7F17" w:rsidRDefault="00ED7F17">
            <w:pPr>
              <w:spacing w:line="276" w:lineRule="auto"/>
              <w:jc w:val="center"/>
              <w:rPr>
                <w:rFonts w:ascii="Arial" w:eastAsia="Arial" w:hAnsi="Arial" w:cs="Arial"/>
                <w:sz w:val="22"/>
                <w:szCs w:val="22"/>
              </w:rPr>
            </w:pPr>
            <w:r>
              <w:rPr>
                <w:sz w:val="20"/>
                <w:szCs w:val="20"/>
              </w:rPr>
              <w:t>9708</w:t>
            </w:r>
          </w:p>
        </w:tc>
        <w:tc>
          <w:tcPr>
            <w:tcW w:w="1335" w:type="dxa"/>
            <w:tcBorders>
              <w:top w:val="single" w:sz="8" w:space="0" w:color="000080"/>
              <w:left w:val="single" w:sz="8" w:space="0" w:color="000080"/>
              <w:bottom w:val="single" w:sz="8" w:space="0" w:color="000080"/>
              <w:right w:val="nil"/>
            </w:tcBorders>
            <w:shd w:val="clear" w:color="auto" w:fill="FFFFFF"/>
            <w:vAlign w:val="center"/>
            <w:hideMark/>
          </w:tcPr>
          <w:p w:rsidR="00ED7F17" w:rsidRDefault="00ED7F17">
            <w:pPr>
              <w:spacing w:line="276" w:lineRule="auto"/>
              <w:jc w:val="center"/>
              <w:rPr>
                <w:rFonts w:ascii="Arial" w:eastAsia="Arial" w:hAnsi="Arial" w:cs="Arial"/>
                <w:sz w:val="22"/>
                <w:szCs w:val="22"/>
              </w:rPr>
            </w:pPr>
            <w:r>
              <w:rPr>
                <w:sz w:val="20"/>
                <w:szCs w:val="20"/>
              </w:rPr>
              <w:t>3119</w:t>
            </w:r>
          </w:p>
        </w:tc>
        <w:tc>
          <w:tcPr>
            <w:tcW w:w="2806" w:type="dxa"/>
            <w:tcBorders>
              <w:top w:val="single" w:sz="8" w:space="0" w:color="000080"/>
              <w:left w:val="single" w:sz="8" w:space="0" w:color="000080"/>
              <w:bottom w:val="single" w:sz="8" w:space="0" w:color="000080"/>
              <w:right w:val="single" w:sz="8" w:space="0" w:color="000080"/>
            </w:tcBorders>
            <w:shd w:val="clear" w:color="auto" w:fill="FFFFFF"/>
            <w:vAlign w:val="center"/>
            <w:hideMark/>
          </w:tcPr>
          <w:p w:rsidR="00ED7F17" w:rsidRDefault="00ED7F17">
            <w:pPr>
              <w:spacing w:line="276" w:lineRule="auto"/>
              <w:jc w:val="center"/>
              <w:rPr>
                <w:rFonts w:ascii="Arial" w:eastAsia="Arial" w:hAnsi="Arial" w:cs="Arial"/>
                <w:sz w:val="22"/>
                <w:szCs w:val="22"/>
              </w:rPr>
            </w:pPr>
            <w:r>
              <w:rPr>
                <w:sz w:val="20"/>
                <w:szCs w:val="20"/>
              </w:rPr>
              <w:t>0</w:t>
            </w:r>
          </w:p>
        </w:tc>
      </w:tr>
      <w:tr w:rsidR="00ED7F17" w:rsidTr="00ED7F17">
        <w:trPr>
          <w:trHeight w:val="517"/>
        </w:trPr>
        <w:tc>
          <w:tcPr>
            <w:tcW w:w="4720" w:type="dxa"/>
            <w:tcBorders>
              <w:top w:val="single" w:sz="8" w:space="0" w:color="000080"/>
              <w:left w:val="single" w:sz="8" w:space="0" w:color="000080"/>
              <w:bottom w:val="single" w:sz="8" w:space="0" w:color="000080"/>
              <w:right w:val="nil"/>
            </w:tcBorders>
            <w:shd w:val="clear" w:color="auto" w:fill="FFFFFF"/>
            <w:vAlign w:val="center"/>
            <w:hideMark/>
          </w:tcPr>
          <w:p w:rsidR="00ED7F17" w:rsidRDefault="00ED7F17">
            <w:pPr>
              <w:spacing w:line="276" w:lineRule="auto"/>
              <w:rPr>
                <w:rFonts w:ascii="Arial" w:eastAsia="Arial" w:hAnsi="Arial" w:cs="Arial"/>
                <w:sz w:val="22"/>
                <w:szCs w:val="22"/>
              </w:rPr>
            </w:pPr>
            <w:r>
              <w:rPr>
                <w:sz w:val="20"/>
                <w:szCs w:val="20"/>
              </w:rPr>
              <w:t>Выездные патронажные службы паллиативной медицинской помощи для взрослого населения</w:t>
            </w:r>
          </w:p>
        </w:tc>
        <w:tc>
          <w:tcPr>
            <w:tcW w:w="1033" w:type="dxa"/>
            <w:tcBorders>
              <w:top w:val="single" w:sz="8" w:space="0" w:color="000080"/>
              <w:left w:val="single" w:sz="8" w:space="0" w:color="000080"/>
              <w:bottom w:val="single" w:sz="8" w:space="0" w:color="000080"/>
              <w:right w:val="nil"/>
            </w:tcBorders>
            <w:shd w:val="clear" w:color="auto" w:fill="FFFFFF"/>
            <w:vAlign w:val="center"/>
            <w:hideMark/>
          </w:tcPr>
          <w:p w:rsidR="00ED7F17" w:rsidRDefault="00ED7F17">
            <w:pPr>
              <w:spacing w:line="276" w:lineRule="auto"/>
              <w:jc w:val="center"/>
              <w:rPr>
                <w:rFonts w:ascii="Arial" w:eastAsia="Arial" w:hAnsi="Arial" w:cs="Arial"/>
                <w:sz w:val="22"/>
                <w:szCs w:val="22"/>
              </w:rPr>
            </w:pPr>
            <w:r>
              <w:rPr>
                <w:sz w:val="20"/>
                <w:szCs w:val="20"/>
              </w:rPr>
              <w:t>2899</w:t>
            </w:r>
          </w:p>
        </w:tc>
        <w:tc>
          <w:tcPr>
            <w:tcW w:w="1335" w:type="dxa"/>
            <w:tcBorders>
              <w:top w:val="single" w:sz="8" w:space="0" w:color="000080"/>
              <w:left w:val="single" w:sz="8" w:space="0" w:color="000080"/>
              <w:bottom w:val="single" w:sz="8" w:space="0" w:color="000080"/>
              <w:right w:val="nil"/>
            </w:tcBorders>
            <w:shd w:val="clear" w:color="auto" w:fill="FFFFFF"/>
            <w:vAlign w:val="center"/>
            <w:hideMark/>
          </w:tcPr>
          <w:p w:rsidR="00ED7F17" w:rsidRDefault="00ED7F17">
            <w:pPr>
              <w:spacing w:line="276" w:lineRule="auto"/>
              <w:jc w:val="center"/>
              <w:rPr>
                <w:rFonts w:ascii="Arial" w:eastAsia="Arial" w:hAnsi="Arial" w:cs="Arial"/>
                <w:sz w:val="22"/>
                <w:szCs w:val="22"/>
              </w:rPr>
            </w:pPr>
            <w:r>
              <w:rPr>
                <w:sz w:val="20"/>
                <w:szCs w:val="20"/>
              </w:rPr>
              <w:t>2899</w:t>
            </w:r>
          </w:p>
        </w:tc>
        <w:tc>
          <w:tcPr>
            <w:tcW w:w="2806" w:type="dxa"/>
            <w:tcBorders>
              <w:top w:val="single" w:sz="8" w:space="0" w:color="000080"/>
              <w:left w:val="single" w:sz="8" w:space="0" w:color="000080"/>
              <w:bottom w:val="single" w:sz="8" w:space="0" w:color="000080"/>
              <w:right w:val="single" w:sz="8" w:space="0" w:color="000080"/>
            </w:tcBorders>
            <w:shd w:val="clear" w:color="auto" w:fill="FFFFFF"/>
            <w:vAlign w:val="center"/>
            <w:hideMark/>
          </w:tcPr>
          <w:p w:rsidR="00ED7F17" w:rsidRDefault="00ED7F17">
            <w:pPr>
              <w:spacing w:line="276" w:lineRule="auto"/>
              <w:jc w:val="center"/>
              <w:rPr>
                <w:rFonts w:ascii="Arial" w:eastAsia="Arial" w:hAnsi="Arial" w:cs="Arial"/>
                <w:sz w:val="22"/>
                <w:szCs w:val="22"/>
              </w:rPr>
            </w:pPr>
            <w:r>
              <w:rPr>
                <w:sz w:val="20"/>
                <w:szCs w:val="20"/>
              </w:rPr>
              <w:t>0</w:t>
            </w:r>
          </w:p>
        </w:tc>
      </w:tr>
    </w:tbl>
    <w:p w:rsidR="00ED7F17" w:rsidRDefault="00ED7F17" w:rsidP="00ED7F17">
      <w:pPr>
        <w:tabs>
          <w:tab w:val="left" w:pos="738"/>
        </w:tabs>
        <w:ind w:left="-57" w:firstLine="510"/>
        <w:jc w:val="both"/>
        <w:rPr>
          <w:rFonts w:eastAsia="Arial"/>
          <w:color w:val="000000"/>
        </w:rPr>
      </w:pPr>
    </w:p>
    <w:p w:rsidR="00ED7F17" w:rsidRDefault="00ED7F17" w:rsidP="00ED7F17">
      <w:pPr>
        <w:tabs>
          <w:tab w:val="left" w:pos="738"/>
        </w:tabs>
        <w:ind w:left="-57" w:firstLine="510"/>
        <w:jc w:val="both"/>
        <w:rPr>
          <w:rFonts w:ascii="Arial" w:hAnsi="Arial" w:cs="Arial"/>
          <w:sz w:val="22"/>
          <w:szCs w:val="22"/>
        </w:rPr>
      </w:pPr>
      <w:r>
        <w:rPr>
          <w:color w:val="000000"/>
        </w:rPr>
        <w:t>В Астраханской области регулярно проводится информирование граждан по вопросам оказания паллиативной помощи. На базе стационаров, оказывающих паллиативную помощь функционируют: «Школа больных с ХСН», «Школа больных, перенесших инсульт», «Школа «Пожилой пациент» и др. Для родственников, ухаживающих за пациентом, проводятся обучающие курсы по вопросам: ухода за тяжелобольным родственником, профилактике застойной пневмонии, по вопросам здорового питания немобильной группы пациентов, по вопросам гигиены данной категории пациентов, а также оказание психологической и социальной помощи пациенту и его родственникам.</w:t>
      </w:r>
    </w:p>
    <w:p w:rsidR="00ED7F17" w:rsidRDefault="00ED7F17" w:rsidP="00ED7F17">
      <w:pPr>
        <w:tabs>
          <w:tab w:val="left" w:pos="738"/>
        </w:tabs>
        <w:ind w:left="-57" w:firstLine="766"/>
        <w:jc w:val="both"/>
      </w:pPr>
      <w:r>
        <w:rPr>
          <w:color w:val="000000"/>
        </w:rPr>
        <w:t>В соответствии с распоряжением министерства здравоохранения Астраханской области от 01.03.2019 №174р «Об организации оказания паллиативной медицинской помощи взрослому населению на территории Астраханской области» с целью совершенствования и повышения качества оказания паллиативной медицинской помощи создана профильная комиссия министерства здравоохранения Астраханской области по специальности «Паллиативная медицинская помощь», организовано в 11 сельских районах области 12 выездных патронажных бригад для оказания паллиативной медицинской помощи в амбулаторных условиях прикрепленному населению в соответствии с приказом №187н.</w:t>
      </w:r>
    </w:p>
    <w:p w:rsidR="00ED7F17" w:rsidRDefault="00ED7F17" w:rsidP="00ED7F17">
      <w:pPr>
        <w:ind w:firstLine="709"/>
        <w:jc w:val="both"/>
        <w:rPr>
          <w:b/>
        </w:rPr>
      </w:pPr>
    </w:p>
    <w:p w:rsidR="00ED7F17" w:rsidRDefault="00ED7F17" w:rsidP="00ED7F17">
      <w:pPr>
        <w:ind w:firstLine="709"/>
        <w:jc w:val="both"/>
        <w:rPr>
          <w:rFonts w:ascii="Arial" w:hAnsi="Arial" w:cs="Arial"/>
          <w:sz w:val="22"/>
          <w:szCs w:val="22"/>
        </w:rPr>
      </w:pPr>
      <w:r>
        <w:rPr>
          <w:b/>
        </w:rPr>
        <w:t>1.9. Анализ проведенных мероприятий по снижению влияния факторов риска развития сердечно-сосудистых заболеваний</w:t>
      </w:r>
    </w:p>
    <w:p w:rsidR="00ED7F17" w:rsidRDefault="00ED7F17" w:rsidP="00ED7F17">
      <w:pPr>
        <w:ind w:firstLine="709"/>
        <w:jc w:val="both"/>
      </w:pPr>
      <w:r>
        <w:t xml:space="preserve">Болезни системы кровообращения в Астраханской области оказывают существенное негативное влияние на состояние общественного здоровья и являются одной из наиболее важных проблем для системы здравоохранения. Однако проблема снижения уровня заболеваемости и смертности от БСК может быть эффективно решена только в рамках профилактической работы. </w:t>
      </w:r>
    </w:p>
    <w:p w:rsidR="00ED7F17" w:rsidRDefault="00ED7F17" w:rsidP="00ED7F17">
      <w:pPr>
        <w:ind w:firstLine="709"/>
        <w:jc w:val="both"/>
      </w:pPr>
      <w:r>
        <w:t>В проспективных эпидемиологических исследованиях определены факторы, которые способствуют развитию и прогрессированию БСК. Это курение, нездоровое питание (недостаточное потребление овощей/фруктов, избыточное потребление насыщенных жиров и поваренной соли), низкая физическая активность и избыточ</w:t>
      </w:r>
      <w:r>
        <w:softHyphen/>
        <w:t xml:space="preserve">ное потребление алкоголя. </w:t>
      </w:r>
    </w:p>
    <w:p w:rsidR="00ED7F17" w:rsidRDefault="00ED7F17" w:rsidP="00ED7F17">
      <w:pPr>
        <w:ind w:firstLine="709"/>
        <w:jc w:val="both"/>
      </w:pPr>
      <w:r>
        <w:t>Длительное негативное действие поведенческих факторов приводит к развитию так называемых биологических факторов риска ССЗ. В их числе артериальная гипертония (АГ), дислипидемия, избыточная масса тела, ожирение и сахарный диабет.</w:t>
      </w:r>
    </w:p>
    <w:p w:rsidR="00ED7F17" w:rsidRDefault="00ED7F17" w:rsidP="00ED7F17">
      <w:pPr>
        <w:ind w:firstLine="709"/>
        <w:jc w:val="both"/>
      </w:pPr>
      <w:r>
        <w:t>Существенный вклад в развитие и прогрессирование БСК вносят также психосоциальные факторы риска (низкий уровень образования и дохода, низкая социальная поддержка, психосоциальный стресс, тревожные и депрессивные состояния).</w:t>
      </w:r>
      <w:r>
        <w:rPr>
          <w:rStyle w:val="63"/>
          <w:rFonts w:ascii="Times New Roman" w:eastAsia="Calibri" w:hAnsi="Times New Roman" w:cs="Times New Roman"/>
          <w:sz w:val="24"/>
          <w:szCs w:val="24"/>
          <w:highlight w:val="none"/>
        </w:rPr>
        <w:t xml:space="preserve"> </w:t>
      </w:r>
    </w:p>
    <w:p w:rsidR="00ED7F17" w:rsidRDefault="00ED7F17" w:rsidP="00ED7F17">
      <w:pPr>
        <w:ind w:firstLine="709"/>
        <w:jc w:val="both"/>
      </w:pPr>
      <w:r>
        <w:rPr>
          <w:bCs/>
        </w:rPr>
        <w:t xml:space="preserve">Модификация образа жизни и снижение уровней факторов риска, находящихся </w:t>
      </w:r>
      <w:r>
        <w:t>в самом начале сердечно-сосудистого континуума,</w:t>
      </w:r>
      <w:r>
        <w:rPr>
          <w:bCs/>
        </w:rPr>
        <w:t xml:space="preserve"> может замедлить возникновение и развитие заболевания как до, так и после появления клинических симптомов. </w:t>
      </w:r>
    </w:p>
    <w:p w:rsidR="00ED7F17" w:rsidRDefault="00ED7F17" w:rsidP="00ED7F17">
      <w:pPr>
        <w:ind w:left="57" w:firstLine="709"/>
        <w:jc w:val="both"/>
      </w:pPr>
      <w:r>
        <w:rPr>
          <w:bCs/>
        </w:rPr>
        <w:t>Поэтому концепция факторов риска является общепризнанной основой профилактики и борьбы с сердечно-сосудистыми заболеваниями на региональном уровне.</w:t>
      </w:r>
    </w:p>
    <w:p w:rsidR="00ED7F17" w:rsidRDefault="00ED7F17" w:rsidP="00ED7F17">
      <w:pPr>
        <w:tabs>
          <w:tab w:val="left" w:pos="0"/>
        </w:tabs>
        <w:ind w:firstLine="709"/>
        <w:jc w:val="both"/>
      </w:pPr>
      <w:r>
        <w:rPr>
          <w:bCs/>
        </w:rPr>
        <w:t xml:space="preserve">В течение последних лет с 2013 по 2018 годы разработан и реализован комплекс медико-профилактических мер, направленных на сохранение и укрепление здоровья населения Астраханской области, снижения негативного влияния вредных условий труда, формирование здорового образа жизни, сокращения потребления алкоголя и табака и информирование населения об их вреде, пропаганде здорового образа жизни и мотивирование граждан к личной ответственности за свое здоровье. </w:t>
      </w:r>
    </w:p>
    <w:p w:rsidR="00ED7F17" w:rsidRDefault="00ED7F17" w:rsidP="00ED7F17">
      <w:pPr>
        <w:tabs>
          <w:tab w:val="left" w:pos="0"/>
        </w:tabs>
        <w:ind w:firstLine="709"/>
        <w:jc w:val="both"/>
      </w:pPr>
      <w:r>
        <w:rPr>
          <w:bCs/>
        </w:rPr>
        <w:t xml:space="preserve">Профилактическая работа по формированию здорового образа жизни проводилась и проводится во всех государственных учреждениях здравоохранения области. </w:t>
      </w:r>
    </w:p>
    <w:p w:rsidR="00ED7F17" w:rsidRDefault="00ED7F17" w:rsidP="00ED7F17">
      <w:pPr>
        <w:ind w:firstLine="709"/>
        <w:jc w:val="both"/>
      </w:pPr>
      <w:r>
        <w:rPr>
          <w:bCs/>
        </w:rPr>
        <w:t xml:space="preserve">Основными методами и формами профилактической работы по реализации поставленных задач являются скрининг состояния здоровья и динамическое наблюдение лиц с факторами риска и обучение граждан приверженности ведению ЗОЖ на индивидуальном и групповом уровнях (центры здоровья), организация и проведение диспансеризации, профилактических медицинских осмотров взрослого населения, диспансерное наблюдение больных с сердечно-сосудистыми заболеваниями (в соответствии с алгоритмами) и лиц, имеющий высокий или очень высокий суммарный сердечно-сосудистый риск. </w:t>
      </w:r>
    </w:p>
    <w:p w:rsidR="00ED7F17" w:rsidRDefault="00ED7F17" w:rsidP="00ED7F17">
      <w:pPr>
        <w:ind w:firstLine="709"/>
        <w:jc w:val="both"/>
      </w:pPr>
      <w:r>
        <w:rPr>
          <w:bCs/>
        </w:rPr>
        <w:t>Ежегодно центры здоровья посещает более 50 тыс. граждан, которые по результатам скрининга состояния здоровья получают индивидуальные рекомендации и профильные паспорта здоровья.</w:t>
      </w:r>
    </w:p>
    <w:p w:rsidR="00ED7F17" w:rsidRDefault="00ED7F17" w:rsidP="00ED7F17">
      <w:pPr>
        <w:ind w:firstLine="709"/>
        <w:jc w:val="both"/>
      </w:pPr>
      <w:r>
        <w:rPr>
          <w:bCs/>
        </w:rPr>
        <w:t xml:space="preserve">Сформирована система оказания медицинской помощи по профилактике и отказу от курения, как в амбулаторных, так и стационарных условиях – открыты кабинеты оказания медицинской помощи при отказе от курения (КОК) и школы здоровья по отказу от курения. </w:t>
      </w:r>
      <w:r>
        <w:t>З</w:t>
      </w:r>
      <w:r>
        <w:rPr>
          <w:bCs/>
        </w:rPr>
        <w:t>а 5 лет работы кабинетов оказания медицинской помощи при отказе от курения, их посетило более 27 тыс. пациентов, обучено в 20 школах здоровья антитабачной тематики более 8 тыс. чел.</w:t>
      </w:r>
    </w:p>
    <w:p w:rsidR="00ED7F17" w:rsidRDefault="00ED7F17" w:rsidP="00ED7F17">
      <w:pPr>
        <w:ind w:firstLine="709"/>
        <w:jc w:val="both"/>
      </w:pPr>
      <w:r>
        <w:rPr>
          <w:bCs/>
        </w:rPr>
        <w:t>В 2018 году обратились в КОК – 7977 чел. (мужчины – 5171 чел., женщины -2806 чел.). Преимущественно посещают кабинеты мужчины, доля которых составляет – 64,8%. Закончили лечение от табачной зависимости – 1306 чел. (мужчины – 930 чел., женщины – 376 чел.). Число лиц, отказавшихся от курения – 987 чел. (12,4%), из них мужчины – 638 чел. (64,6%) и женщины – 349 чел. (35,4%). Находятся на динамическом наблюдении – 2649 чел. (33,2%).</w:t>
      </w:r>
    </w:p>
    <w:p w:rsidR="00ED7F17" w:rsidRDefault="00ED7F17" w:rsidP="00ED7F17">
      <w:pPr>
        <w:ind w:firstLine="709"/>
        <w:jc w:val="both"/>
      </w:pPr>
      <w:r>
        <w:rPr>
          <w:bCs/>
        </w:rPr>
        <w:t>Особая роль принадлежит таким профилактическим технологиям, как школы здоровья: для больных сердечно-сосудистыми заболеваниями и лиц, имеющих высокий риск их развития.</w:t>
      </w:r>
    </w:p>
    <w:p w:rsidR="00ED7F17" w:rsidRDefault="00ED7F17" w:rsidP="00ED7F17">
      <w:pPr>
        <w:ind w:firstLine="709"/>
        <w:jc w:val="both"/>
      </w:pPr>
      <w:r>
        <w:rPr>
          <w:bCs/>
        </w:rPr>
        <w:t>В Астраханской области количество функционирующих школ здоровья по итогам 2018 года составляет – 497, количество обученных – 154416 чел. (19,5% от взрослого населения), из них количество школ здоровья кардиологического профиля - 94, обучено – 25645чел. (16,6% от общего числа обученных в школах здоровья).</w:t>
      </w:r>
    </w:p>
    <w:p w:rsidR="00ED7F17" w:rsidRDefault="00ED7F17" w:rsidP="00ED7F17">
      <w:pPr>
        <w:ind w:firstLine="709"/>
        <w:jc w:val="both"/>
      </w:pPr>
      <w:r>
        <w:rPr>
          <w:bCs/>
        </w:rPr>
        <w:t>За период с 2014 года по 2018 годы (за 5 период) общее количество школ здоровья увеличилось на 42, количество обученных возросло на 29437 чел. (на 23,6%).</w:t>
      </w:r>
    </w:p>
    <w:p w:rsidR="00ED7F17" w:rsidRDefault="00ED7F17" w:rsidP="00ED7F17">
      <w:pPr>
        <w:ind w:firstLine="709"/>
        <w:jc w:val="both"/>
      </w:pPr>
      <w:r>
        <w:rPr>
          <w:bCs/>
        </w:rPr>
        <w:t xml:space="preserve">Количество кардиологических школ здоровья за 5- летний период увеличилось на 18, количество обученных – на 9460 чел. (рост на 58,4%), ежегодный прирост обученных в школах здоровья кардиологического профиля составил соответственно – 11,7%. </w:t>
      </w:r>
    </w:p>
    <w:p w:rsidR="00ED7F17" w:rsidRDefault="00ED7F17" w:rsidP="00ED7F17">
      <w:pPr>
        <w:ind w:firstLine="709"/>
        <w:jc w:val="both"/>
      </w:pPr>
      <w:r>
        <w:rPr>
          <w:bCs/>
        </w:rPr>
        <w:t>Для больных ИБС в области функционирует 7 школ здоровья (</w:t>
      </w:r>
      <w:r>
        <w:t xml:space="preserve">ГБУЗ АО «Областной кардиологический диспансер», ГБУЗ АО «ГКБ №2 им. братьев Губиных», ЧУЗ «Отделенческая больница на ст. Астрахань - 1 ОАО РЖД, ГБУЗ АО «ГП №5» (на базах двух поликлинических отделений), ГБУЗ АО «Наримановская РБ»). По сравнению с 2014 годом количество школ увеличилось на 5. </w:t>
      </w:r>
    </w:p>
    <w:p w:rsidR="00ED7F17" w:rsidRDefault="00ED7F17" w:rsidP="00ED7F17">
      <w:pPr>
        <w:ind w:firstLine="709"/>
        <w:jc w:val="both"/>
      </w:pPr>
      <w:r>
        <w:t xml:space="preserve">В последние годы количество обученных граждан в школах здоровья данного профиля возросло: от 435 чел. в 2014 году до 1343 чел. в 2018 году (рост на 67,6%). </w:t>
      </w:r>
    </w:p>
    <w:p w:rsidR="00ED7F17" w:rsidRDefault="00ED7F17" w:rsidP="00ED7F17">
      <w:pPr>
        <w:ind w:firstLine="709"/>
        <w:jc w:val="both"/>
      </w:pPr>
      <w:r>
        <w:t>Для больных ХСН в медицинских организациях области в 2014 году было открыто 14 школ здоровья, обучено 2742 чел., против 20 школ (обучено 5374 чел.) в 2018 году. Наблюдается положительная динамика по обучению больных ССЗ в ключевых школах здоровья.</w:t>
      </w:r>
    </w:p>
    <w:p w:rsidR="00ED7F17" w:rsidRDefault="00ED7F17" w:rsidP="00ED7F17">
      <w:pPr>
        <w:ind w:firstLine="709"/>
        <w:jc w:val="both"/>
      </w:pPr>
      <w:r>
        <w:t xml:space="preserve">Социологические исследования в регионе показывают, что медицинские работники достаточно успешно обучают пациентов в школах здоровья методам самоконтроля состояния и приему лекарственных препаратов. Медицинские работники ориентированы на формирование приверженности пациентов к лечению, то есть на управление заболеванием. </w:t>
      </w:r>
    </w:p>
    <w:p w:rsidR="00ED7F17" w:rsidRDefault="00ED7F17" w:rsidP="00ED7F17">
      <w:pPr>
        <w:ind w:firstLine="709"/>
        <w:jc w:val="both"/>
      </w:pPr>
      <w:r>
        <w:t>Несоблюдение врачебных рекомендаций пациентами, перенесшими ИМ, приводит к значительному увеличению вероятности развития неблагоприятных сердечно-сосудистых событий в постинфарктном периоде.</w:t>
      </w:r>
    </w:p>
    <w:p w:rsidR="00ED7F17" w:rsidRDefault="00ED7F17" w:rsidP="00ED7F17">
      <w:pPr>
        <w:ind w:firstLine="709"/>
        <w:jc w:val="both"/>
      </w:pPr>
      <w:r>
        <w:t>Так, в 2016 году в Астраханская область участвовала в проекте «</w:t>
      </w:r>
      <w:r>
        <w:rPr>
          <w:bCs/>
        </w:rPr>
        <w:t xml:space="preserve">Клинико-эпидемиологической программы изучения психосоциальных факторов риска в кардиологической практике у больных артериальной гипертонией и ишемической болезнью сердца (КОМЕТА)» под эгидой ФГБУ «НМИЦ ПМ» Минздрава России и </w:t>
      </w:r>
      <w:r>
        <w:t>Национального общества профилактической кардиологии. Национальные координаторы Программы – профессор Н.В. Погосова и академик РАН Р.Г. Оганов.</w:t>
      </w:r>
      <w:r>
        <w:rPr>
          <w:bCs/>
        </w:rPr>
        <w:t xml:space="preserve"> Клинико-эпидемиологические исследования проводились на базах городских поликлиник №1 и №8. </w:t>
      </w:r>
      <w:r>
        <w:t xml:space="preserve">Особое внимание в программе было уделено выявлению тревожных и депрессивных состояний у пациентов ввиду их высокой коморбидности с ССЗ. Целью программы – являлось изучение распространенности психосоциальных факторов риска и их влияния на течение и прогноз БСК в рамках исследования. </w:t>
      </w:r>
    </w:p>
    <w:p w:rsidR="00ED7F17" w:rsidRDefault="00ED7F17" w:rsidP="00ED7F17">
      <w:pPr>
        <w:ind w:firstLine="709"/>
        <w:jc w:val="both"/>
      </w:pPr>
      <w:r>
        <w:t xml:space="preserve">В 2018 году Астраханская область вошла в число 5 регионов  по участию в </w:t>
      </w:r>
      <w:r>
        <w:rPr>
          <w:bCs/>
          <w:color w:val="333333"/>
        </w:rPr>
        <w:t xml:space="preserve">Многоцентровом, рандомизированном, проспективном исследовании - </w:t>
      </w:r>
      <w:r>
        <w:rPr>
          <w:bCs/>
        </w:rPr>
        <w:t>3Р PrimaryPreventionProgram («</w:t>
      </w:r>
      <w:r>
        <w:rPr>
          <w:color w:val="000000"/>
        </w:rPr>
        <w:t>Исследование по оценке влияния маршрутизации пациентов и расширенног</w:t>
      </w:r>
      <w:r>
        <w:t xml:space="preserve">о консультирования по первичной </w:t>
      </w:r>
      <w:r>
        <w:rPr>
          <w:color w:val="000000"/>
        </w:rPr>
        <w:t>медикаментозной профилактике сердечно-сосуд</w:t>
      </w:r>
      <w:r>
        <w:t xml:space="preserve">истых заболеваний с применением </w:t>
      </w:r>
      <w:r>
        <w:rPr>
          <w:color w:val="000000"/>
        </w:rPr>
        <w:t>аторвастатина в учреждениях первичной медико-санитарной помощи на достижение целевого уровня холестерина липопротеидов низкой плотности и приверженность пациентов к терапии</w:t>
      </w:r>
      <w:r>
        <w:t xml:space="preserve">»). Исследование </w:t>
      </w:r>
      <w:r>
        <w:rPr>
          <w:bCs/>
        </w:rPr>
        <w:t xml:space="preserve">проводится в 2 этапа: 1-й этап (предварительный): выявление пациентов с очень высоким, высоким и умеренным СС риском, без заболеваний атеросклеротического генеза и нуждающихся в приеме гиполипидемических препаратов; 2-й этап: проспективное наблюдение за пациентами, получающими первичную медикаментозную профилактику ССЗ статинами. </w:t>
      </w:r>
    </w:p>
    <w:p w:rsidR="00ED7F17" w:rsidRDefault="00ED7F17" w:rsidP="00ED7F17">
      <w:pPr>
        <w:ind w:firstLine="709"/>
        <w:jc w:val="both"/>
      </w:pPr>
      <w:r>
        <w:rPr>
          <w:rFonts w:eastAsia="Calibri"/>
        </w:rPr>
        <w:t xml:space="preserve">Координируют проект ФГБУ «НМИЦ ПМ» Минздрава России, Общероссийская общественная организация «Российское общество профилактики неинфекционных заболеваний», ФГБУ «НМИЦ Кардиологии» Минздрава России и региональная общественная организация «Лига содействия клиническим исследованиям и защите прав участников фармацевтического рынка». </w:t>
      </w:r>
    </w:p>
    <w:p w:rsidR="00ED7F17" w:rsidRDefault="00ED7F17" w:rsidP="00ED7F17">
      <w:pPr>
        <w:pStyle w:val="17"/>
        <w:spacing w:after="0" w:line="276" w:lineRule="auto"/>
        <w:ind w:left="0" w:firstLine="709"/>
        <w:jc w:val="both"/>
      </w:pPr>
      <w:r>
        <w:rPr>
          <w:rFonts w:ascii="Times New Roman" w:eastAsia="Calibri" w:hAnsi="Times New Roman" w:cs="Times New Roman"/>
        </w:rPr>
        <w:t xml:space="preserve">Цель проекта: оценить влияние комплекса мероприятий на показатели приверженности пациентов к первичной профилактике статинами на достижение целевого уровня холестерина и липопротеидов низкой плотности. В проекте участвуют 3 медицинские организации министерства здравоохранения Астраханской области. </w:t>
      </w:r>
    </w:p>
    <w:p w:rsidR="00ED7F17" w:rsidRDefault="00ED7F17" w:rsidP="00ED7F17">
      <w:pPr>
        <w:ind w:firstLine="709"/>
        <w:jc w:val="both"/>
      </w:pPr>
      <w:r>
        <w:t>Участие в данных проектах уже сейчас значительно повышает роль и эффективность профилактических технологий в кардиологии на региональном уровне, мотивирует медицинских работников более активно проводить работу среди пациентов по ранней диагностике, коррекции факторов риска и модификации образа жизни, применению статинов и повышает уровень профессиональных компетенций.</w:t>
      </w:r>
    </w:p>
    <w:p w:rsidR="00ED7F17" w:rsidRDefault="00ED7F17" w:rsidP="00ED7F17">
      <w:pPr>
        <w:tabs>
          <w:tab w:val="left" w:pos="0"/>
        </w:tabs>
        <w:ind w:firstLine="709"/>
        <w:jc w:val="both"/>
      </w:pPr>
      <w:r>
        <w:rPr>
          <w:bCs/>
        </w:rPr>
        <w:t xml:space="preserve">Постановлением Правительства Астраханской области создана межведомственная комиссия по социально-демографическим вопросам, которая является координационным органом, обеспечивающим согласованные действия заинтересованных исполнительных органов государственной власти. </w:t>
      </w:r>
    </w:p>
    <w:p w:rsidR="00ED7F17" w:rsidRDefault="00ED7F17" w:rsidP="00ED7F17">
      <w:pPr>
        <w:pStyle w:val="b-articletext"/>
        <w:spacing w:before="0" w:after="0" w:line="276" w:lineRule="auto"/>
        <w:ind w:firstLine="709"/>
        <w:contextualSpacing/>
        <w:jc w:val="both"/>
        <w:textAlignment w:val="baseline"/>
      </w:pPr>
      <w:r>
        <w:rPr>
          <w:bCs/>
        </w:rPr>
        <w:t>В процесс вовлекаются все потенциальные участники, что дает нам возможность привлечь социально-ориентированный бизнес, компании (ООО «Газпром добыча Астрахань», ООО «Лукойл – Нижневолжскнефть» «Каспийский трубопроводный консорциум» и др.), а также крупнейших местных производителей продукции, которые должны обеспечивать здоровый образ жизни, а также представителей градостроительной политики. Делается большой шаг к формированию региональной команды специалистов.</w:t>
      </w:r>
    </w:p>
    <w:p w:rsidR="00ED7F17" w:rsidRDefault="00ED7F17" w:rsidP="00ED7F17">
      <w:pPr>
        <w:pStyle w:val="b-articletext"/>
        <w:spacing w:before="0" w:after="0" w:line="276" w:lineRule="auto"/>
        <w:ind w:firstLine="709"/>
        <w:contextualSpacing/>
        <w:jc w:val="both"/>
        <w:textAlignment w:val="baseline"/>
      </w:pPr>
      <w:r>
        <w:rPr>
          <w:bCs/>
        </w:rPr>
        <w:t>Социально-ответственные компании уже много лет реализуют на территории области различные профилактические и оздоровительные программы для населения. Более половины средств, направляемых ими в социальную сферу, приходятся на проекты по поддержке медицинских организаций и проводимых профилактических мероприятий (оснащение медицинских организаций диагностическими передвижными комплексами, организация и проведение Дней здоровья в муниципальных образованиях Астраханской области и др.).</w:t>
      </w:r>
    </w:p>
    <w:p w:rsidR="00ED7F17" w:rsidRDefault="00ED7F17" w:rsidP="00ED7F17">
      <w:pPr>
        <w:pStyle w:val="b-articletext"/>
        <w:spacing w:before="0" w:after="0" w:line="276" w:lineRule="auto"/>
        <w:ind w:firstLine="709"/>
        <w:contextualSpacing/>
        <w:jc w:val="both"/>
        <w:textAlignment w:val="baseline"/>
      </w:pPr>
      <w:r>
        <w:rPr>
          <w:bCs/>
        </w:rPr>
        <w:t xml:space="preserve">В формировании профилактической среды и реализации национальной Стратегии борьбы с неинфекционными заболеваниями и формированию здорового образа жизни (ЗОЖ) участвуют все министерства и ведомства Астраханской области. </w:t>
      </w:r>
    </w:p>
    <w:p w:rsidR="00ED7F17" w:rsidRDefault="00ED7F17" w:rsidP="00ED7F17">
      <w:pPr>
        <w:pStyle w:val="16"/>
        <w:spacing w:before="0" w:after="0" w:line="276" w:lineRule="auto"/>
        <w:ind w:firstLine="709"/>
        <w:contextualSpacing/>
        <w:jc w:val="both"/>
        <w:textAlignment w:val="baseline"/>
      </w:pPr>
      <w:r>
        <w:rPr>
          <w:bCs/>
        </w:rPr>
        <w:t xml:space="preserve">Лучшие региональные проектные практики легли в основу межведомственного и межсекторального взаимодействия по информированию и мотивированию у населения ЗОЖ, профилактики хронических неинфекционных заболеваний, включая борьбу с сердечно-сосудистыми заболеваниями, </w:t>
      </w:r>
      <w:r>
        <w:t>снижение уровня потребления алкоголя, распространенности потребления табака и других факторов риска.</w:t>
      </w:r>
    </w:p>
    <w:p w:rsidR="00ED7F17" w:rsidRDefault="00ED7F17" w:rsidP="00ED7F17">
      <w:pPr>
        <w:pStyle w:val="16"/>
        <w:spacing w:before="0" w:after="0" w:line="276" w:lineRule="auto"/>
        <w:ind w:firstLine="850"/>
        <w:contextualSpacing/>
        <w:jc w:val="both"/>
        <w:textAlignment w:val="baseline"/>
      </w:pPr>
      <w:r>
        <w:rPr>
          <w:bCs/>
        </w:rPr>
        <w:t>Мотивирование населения к заботе о своем здоровье осуществляется по 18 основным профилактическим программам и проектам, включая общероссийские - межведомственные профилактические проекты: «Здоровая молодежь - здоровая Губерния», «Трезвый регион – здоровый регион», «Мир без опасности», «Волжская палитра», «Сохрани свою жизнь», «Здоровое сердце ради жизни!», «Астрахань без табака», «Беги за мной!», «Будь здоров!», «Знания – во имя здоровья будущих поколений» и др.</w:t>
      </w:r>
    </w:p>
    <w:p w:rsidR="00ED7F17" w:rsidRDefault="00ED7F17" w:rsidP="00ED7F17">
      <w:pPr>
        <w:pStyle w:val="16"/>
        <w:spacing w:before="0" w:after="0" w:line="276" w:lineRule="auto"/>
        <w:ind w:firstLine="709"/>
        <w:contextualSpacing/>
        <w:jc w:val="both"/>
        <w:textAlignment w:val="baseline"/>
      </w:pPr>
      <w:r>
        <w:rPr>
          <w:bCs/>
        </w:rPr>
        <w:t>Каждый образовательный проект и программа ориентированы на конкретные факторы риска, конкретные заболевания, каждая образовательная кампания, предусмотренная проектом предназначается конкретной социально-демографической группе.</w:t>
      </w:r>
    </w:p>
    <w:p w:rsidR="00ED7F17" w:rsidRDefault="00ED7F17" w:rsidP="00ED7F17">
      <w:pPr>
        <w:ind w:firstLine="850"/>
        <w:jc w:val="both"/>
      </w:pPr>
      <w:r>
        <w:t>Ежегодно в рамках профилактических проектов и программ организовывается и проводится на межведомственной основе более 1800 массовых мероприятий, с каждым годом увеличиваются количество проводимых массовых акций профилактической направленности с участием как медицинских организаций, так и различных ведомств и организаций, общественных организаций и широким участием волонтеров - медиков (Астраханский государственный медицинский университет, Астраханский базовый медицинский колледж).</w:t>
      </w:r>
    </w:p>
    <w:p w:rsidR="00ED7F17" w:rsidRDefault="00ED7F17" w:rsidP="00ED7F17">
      <w:pPr>
        <w:ind w:firstLine="850"/>
        <w:jc w:val="both"/>
      </w:pPr>
      <w:r>
        <w:t xml:space="preserve">Ежегодно проводятся на межведомственной постоянной основе более 10 молодежные фестивалей, в которых принимают участие более 7 тыс. молодых людей. Тематика фестивалей: «Формула здоровья», «Вместе мы сильнее», «Живи в движении», «Здоровое сердце – долгая жизнь», «Я за некурящую Россию», «Котролируем здоровье – продлеваем жизнь!», «Здоровье – вот залог успеха, ты должен знать и помнить это!», «Береги свое сердце!», «День трезвости» и др. </w:t>
      </w:r>
    </w:p>
    <w:p w:rsidR="00ED7F17" w:rsidRDefault="00ED7F17" w:rsidP="00ED7F17">
      <w:pPr>
        <w:ind w:firstLine="709"/>
        <w:jc w:val="both"/>
      </w:pPr>
      <w:r>
        <w:t xml:space="preserve">Особое внимание уделяется информированию населения через средства массовой информации. Специалисты ГБУЗ АО «ЦМП» и ГБУЗ «ОКД» в течение 2018 года принимали участие в создании </w:t>
      </w:r>
      <w:r>
        <w:rPr>
          <w:b/>
        </w:rPr>
        <w:t>21</w:t>
      </w:r>
      <w:r>
        <w:t xml:space="preserve"> информационной телепрограммы по профилактике сердечно-сосудистых заболеваний, вышедших 67 раз на 4-х телеканалах Астраханской области, с которыми заключены договоры о сотрудничестве. Предоставление эфирного времени на телеканалах происходило на безвозмездной основе. Продолжали демонстрироваться видеоролики по всеми региональным каналами телевидения по неотложным состояниям:</w:t>
      </w:r>
    </w:p>
    <w:p w:rsidR="00ED7F17" w:rsidRDefault="00ED7F17" w:rsidP="00ED7F17">
      <w:pPr>
        <w:ind w:firstLine="709"/>
        <w:jc w:val="both"/>
      </w:pPr>
      <w:r>
        <w:t>- «Элементы оказания первой помощи» (продолжительность – 15 сек.);</w:t>
      </w:r>
    </w:p>
    <w:p w:rsidR="00ED7F17" w:rsidRDefault="00ED7F17" w:rsidP="00ED7F17">
      <w:pPr>
        <w:ind w:firstLine="709"/>
        <w:jc w:val="both"/>
      </w:pPr>
      <w:r>
        <w:t>- «Инсульт. Ваше здоровье в ваших руках» (продолжительность – 14 сек.);</w:t>
      </w:r>
    </w:p>
    <w:p w:rsidR="00ED7F17" w:rsidRDefault="00ED7F17" w:rsidP="00ED7F17">
      <w:pPr>
        <w:ind w:firstLine="709"/>
        <w:jc w:val="both"/>
      </w:pPr>
      <w:r>
        <w:t>- «Ишемический инсульт. Первая помощь» (продолжительность – 3 мин. 07 сек.);</w:t>
      </w:r>
    </w:p>
    <w:p w:rsidR="00ED7F17" w:rsidRDefault="00ED7F17" w:rsidP="00ED7F17">
      <w:pPr>
        <w:ind w:firstLine="709"/>
        <w:jc w:val="both"/>
      </w:pPr>
      <w:r>
        <w:t>- «Профилактика ССЗ» (продолжительность – 22 сек.).</w:t>
      </w:r>
      <w:r>
        <w:rPr>
          <w:u w:val="single"/>
        </w:rPr>
        <w:t xml:space="preserve"> </w:t>
      </w:r>
    </w:p>
    <w:p w:rsidR="00ED7F17" w:rsidRDefault="00ED7F17" w:rsidP="00ED7F17">
      <w:pPr>
        <w:ind w:firstLine="709"/>
        <w:jc w:val="both"/>
      </w:pPr>
      <w:r>
        <w:t>Во всех медицинских организациях осуществляется трансляция видеороликов по профилактике НИЗ и популяризации здорового образа жизни.</w:t>
      </w:r>
    </w:p>
    <w:p w:rsidR="00ED7F17" w:rsidRDefault="00ED7F17" w:rsidP="00ED7F17">
      <w:pPr>
        <w:ind w:firstLine="709"/>
        <w:jc w:val="both"/>
      </w:pPr>
      <w:r>
        <w:t xml:space="preserve">На 12 радиостанциях (Маяк, Серебряный дождь, Дача, Наше радио, Авторадио, Ретро ФМ, Хит ФМ, Европа+, Русское радио, Дорожное радио, Южное радио, Радио России Астрахань АГТРК «Лотос») организовано в 2018 году 656 тематических новостных передач, выпущено 1804 выхода радиопередач общей продолжительностью 309 часов, 50 минут, из них вопросам профилактики сердечно-сосудистых заболеваний было отведено центральное место. Тематика радиопередач: «Профилактики заболеваний сердца и сосудов и их факторы риска»; «Неотложные состояния и первая медицинская помощь», «Питаемся правильно. Опасность трансжиров»; «Что любит сердце», «Советы кардиолога», «Профилактика артериальной гипертензии», «Сердце и курение», «Сердце и физическая активность», «Внимание – инсульт!» и др. </w:t>
      </w:r>
    </w:p>
    <w:p w:rsidR="00ED7F17" w:rsidRDefault="00ED7F17" w:rsidP="00ED7F17">
      <w:pPr>
        <w:ind w:firstLine="680"/>
        <w:jc w:val="both"/>
      </w:pPr>
      <w:r>
        <w:t>Во всех учреждениях здравоохранения города и Астраханской области в 100% объеме были обновлены стенды по темам «Правила проведения диспансеризации взрослого населения», «Профилактика инсульта», «Первая помощь при неотложных сердечно-сосудистых состояниях и методы профилактики».</w:t>
      </w:r>
    </w:p>
    <w:p w:rsidR="00ED7F17" w:rsidRDefault="00ED7F17" w:rsidP="00ED7F17">
      <w:pPr>
        <w:ind w:firstLine="680"/>
        <w:jc w:val="both"/>
      </w:pPr>
      <w:r>
        <w:t>В соцсетях «ВКонтакте», «</w:t>
      </w:r>
      <w:r>
        <w:rPr>
          <w:lang w:val="en-US"/>
        </w:rPr>
        <w:t>Facebook</w:t>
      </w:r>
      <w:r>
        <w:t>», «Одноклассники» и «</w:t>
      </w:r>
      <w:r>
        <w:rPr>
          <w:lang w:val="en-US"/>
        </w:rPr>
        <w:t>INSTAGRAM</w:t>
      </w:r>
      <w:r>
        <w:t>» за 12 месяцев 2018 года  количество публикаций по субъекту составило 6171, количество подписчиков – 10407 чел.</w:t>
      </w:r>
    </w:p>
    <w:p w:rsidR="00ED7F17" w:rsidRDefault="00ED7F17" w:rsidP="00ED7F17">
      <w:pPr>
        <w:ind w:firstLine="709"/>
        <w:jc w:val="both"/>
      </w:pPr>
      <w:r>
        <w:t>Для детей и подростков в регионе успешно реализуется ряд профилактических проектов и программ на межведомственной основе: программа профилактики табакокурения, алкоголизма, наркомании и формирования ЗОЖ «Сохрани свою жизнь», «Подросток обучает подростка», информационно – образовательная компьютерная программа по формированию ЗОЖ «СТАЛКЕР», оздоровительная программа для детей «Интерактивное путешествие в мир безопасности», социально-значимый региональный проект «Мы бьем тревогу».</w:t>
      </w:r>
    </w:p>
    <w:p w:rsidR="00ED7F17" w:rsidRDefault="00ED7F17" w:rsidP="00ED7F17">
      <w:pPr>
        <w:ind w:firstLine="709"/>
        <w:jc w:val="both"/>
      </w:pPr>
      <w:r>
        <w:rPr>
          <w:bCs/>
        </w:rPr>
        <w:t>Создается среда, благоприятная для досуга, повышения физической активности населения, создание экологически-здоровой окружающей среды (начата реализация в регионе ряда новых проектов, в частности «Обновленный город») и формирование здорового будущего поколения.</w:t>
      </w:r>
    </w:p>
    <w:p w:rsidR="00ED7F17" w:rsidRDefault="00ED7F17" w:rsidP="00ED7F17">
      <w:pPr>
        <w:ind w:firstLine="709"/>
        <w:jc w:val="both"/>
      </w:pPr>
      <w:r>
        <w:rPr>
          <w:bCs/>
        </w:rPr>
        <w:t>Разрабатываются новые профилактические проекты, в частности авторский проект группы молодых специалистов ГБУЗ АО «ЦМП» - «Научись управлять здоровьем», который был представлен на конкурс молодежного Правительства Астраханской области и вошел в число победителей.</w:t>
      </w:r>
    </w:p>
    <w:p w:rsidR="00ED7F17" w:rsidRDefault="00ED7F17" w:rsidP="00ED7F17">
      <w:pPr>
        <w:ind w:firstLine="709"/>
        <w:jc w:val="both"/>
      </w:pPr>
      <w:r>
        <w:t xml:space="preserve">В 2018 году ФГБУ «НМИЦ ПМ» Минздрава России в ряде субъектов РФ, включая и Астраханскую область начато проведение очередного мониторинга оценки формирования культуры здорового образа жизни с учетом особенностей целевых групп граждан на основе методики </w:t>
      </w:r>
      <w:r>
        <w:rPr>
          <w:lang w:val="en-US"/>
        </w:rPr>
        <w:t>STEPS</w:t>
      </w:r>
      <w:r>
        <w:t xml:space="preserve"> и Протокола мониторинга реализации приоритетного проекта «Формирование здорового образа жизни», утвержденного директором ФГБУ «НМИЦ ПМ» Минздрава России.</w:t>
      </w:r>
    </w:p>
    <w:p w:rsidR="00ED7F17" w:rsidRDefault="00ED7F17" w:rsidP="00ED7F17">
      <w:pPr>
        <w:ind w:firstLine="709"/>
        <w:jc w:val="both"/>
      </w:pPr>
      <w:r>
        <w:t xml:space="preserve">Сформирована </w:t>
      </w:r>
      <w:r>
        <w:rPr>
          <w:iCs/>
        </w:rPr>
        <w:t xml:space="preserve">представительная (репрезентативная) </w:t>
      </w:r>
      <w:r>
        <w:t>выборка из изучаемой популяции для получения оценки эпидемиологической ситуации по распространенности факторов риска неинфекционных заболеваний. Период окончания исследования – 3 квартал 2019 года.</w:t>
      </w:r>
    </w:p>
    <w:p w:rsidR="00ED7F17" w:rsidRDefault="00ED7F17" w:rsidP="00ED7F17">
      <w:pPr>
        <w:ind w:firstLine="709"/>
        <w:jc w:val="both"/>
      </w:pPr>
      <w:r>
        <w:t>Итоги социологических исследований показывают, что количество людей, которые занимаются спортом, в регионе ощутимо растёт - за пять лет на 9% (39,0% населения Астраханской области), удвоилось участие населения в профилактических программах. Кроме этого, доля граждан, приверженных здоровому образу жизни на конец 2018 года составила 28%, против 18,7% в 2014 году (рост на 9,3%).</w:t>
      </w:r>
    </w:p>
    <w:p w:rsidR="00ED7F17" w:rsidRDefault="00ED7F17" w:rsidP="00ED7F17">
      <w:pPr>
        <w:ind w:firstLine="709"/>
        <w:jc w:val="both"/>
      </w:pPr>
      <w:r>
        <w:rPr>
          <w:bCs/>
        </w:rPr>
        <w:t>По данным эпидемиологического мониторинга неинфекционных заболеваний и факторов риска прослеживается устойчивое снижение распространенности табакокурения, употребления алкоголя с риском пагубного влияния на здоровье, наркомании.</w:t>
      </w:r>
    </w:p>
    <w:p w:rsidR="00ED7F17" w:rsidRDefault="00ED7F17" w:rsidP="00ED7F17">
      <w:pPr>
        <w:ind w:firstLine="709"/>
        <w:jc w:val="both"/>
      </w:pPr>
      <w:r>
        <w:t>Эффективная реализация программ по ограничению потребления табака и государственной политики противодействия потреблению табака – неотъемлемая часть профилактики сердечно-сосудистых заболеваний. Частота распространенности курения табака на начало реализации программы Формирование ЗОЖ в 2013 году составляла в России – 39,1%, в Астраханской области – среди взрослого населения 34,6%; среди детского населения – 31,7%. Распространенность табакокурения в популяции Астраханской области в 2018 году составляет 22,0%, среди детского населения – 18,0%. В то же время среди взрослых мужчин распространенность курения достоверно выше, чем среди женщин. Среди несовершеннолетних распространенность курения имеет отрицательную динамику (рост) в последние 2 года (употребление электронных сигарет).</w:t>
      </w:r>
    </w:p>
    <w:p w:rsidR="00ED7F17" w:rsidRDefault="00ED7F17" w:rsidP="00ED7F17">
      <w:pPr>
        <w:pStyle w:val="16"/>
        <w:spacing w:before="0" w:after="0" w:line="276" w:lineRule="auto"/>
        <w:ind w:firstLine="709"/>
        <w:jc w:val="both"/>
      </w:pPr>
      <w:r>
        <w:t>К факторам риска помимо курения относятся недостаточная физическая активность. Данные исследований показывают, что степень физической активности высока во всех группах населения Астраханской области. На ходьбу в быстром и умеренном темпе более 30 минут тратят от 66,3 до 80,0%, причем их процент тем выше, чем моложе возрастная группа.</w:t>
      </w:r>
    </w:p>
    <w:p w:rsidR="00ED7F17" w:rsidRDefault="00ED7F17" w:rsidP="00ED7F17">
      <w:pPr>
        <w:pStyle w:val="western"/>
        <w:spacing w:before="0" w:after="0" w:line="240" w:lineRule="auto"/>
        <w:ind w:left="720" w:firstLine="709"/>
        <w:contextualSpacing/>
        <w:jc w:val="both"/>
        <w:rPr>
          <w:b/>
        </w:rPr>
      </w:pPr>
    </w:p>
    <w:p w:rsidR="00ED7F17" w:rsidRDefault="00ED7F17" w:rsidP="00ED7F17">
      <w:pPr>
        <w:pStyle w:val="16"/>
        <w:spacing w:before="0" w:after="0" w:line="276" w:lineRule="auto"/>
        <w:ind w:firstLine="709"/>
        <w:contextualSpacing/>
        <w:jc w:val="both"/>
      </w:pPr>
      <w:r>
        <w:rPr>
          <w:b/>
          <w:bCs/>
        </w:rPr>
        <w:t>1.10. Выводы</w:t>
      </w:r>
    </w:p>
    <w:p w:rsidR="00ED7F17" w:rsidRDefault="00ED7F17" w:rsidP="00ED7F17">
      <w:pPr>
        <w:pStyle w:val="16"/>
        <w:spacing w:before="0" w:after="0" w:line="276" w:lineRule="auto"/>
        <w:ind w:firstLine="709"/>
        <w:contextualSpacing/>
        <w:jc w:val="both"/>
        <w:rPr>
          <w:b/>
          <w:bCs/>
        </w:rPr>
      </w:pPr>
    </w:p>
    <w:p w:rsidR="00ED7F17" w:rsidRDefault="00ED7F17" w:rsidP="00ED7F17">
      <w:pPr>
        <w:pStyle w:val="16"/>
        <w:spacing w:before="0" w:after="0" w:line="276" w:lineRule="auto"/>
        <w:ind w:firstLine="709"/>
        <w:contextualSpacing/>
        <w:jc w:val="both"/>
      </w:pPr>
      <w:r>
        <w:rPr>
          <w:b/>
        </w:rPr>
        <w:t>1. 10.1. Факторы, значимо влияющие на торможение темпа снижения смертности населения в Астраханской области</w:t>
      </w:r>
      <w:r>
        <w:t xml:space="preserve"> – высокая распространенность АГ и низкая приверженность к контролю артериального давления и лечения. Рост распространенности избыточной массы тела и ожирения у мужчин и женщин. Высокая внегоспитальная смертность от БСК. Низкая приверженность населения к заботе о своем здоровье, ведению здорового образа жизни.</w:t>
      </w:r>
    </w:p>
    <w:p w:rsidR="00ED7F17" w:rsidRDefault="00ED7F17" w:rsidP="00ED7F17">
      <w:pPr>
        <w:pStyle w:val="16"/>
        <w:spacing w:before="0" w:after="0" w:line="276" w:lineRule="auto"/>
        <w:ind w:firstLine="709"/>
        <w:contextualSpacing/>
        <w:jc w:val="both"/>
      </w:pPr>
      <w:r>
        <w:rPr>
          <w:u w:val="single"/>
        </w:rPr>
        <w:t>Требуют внимания и принятия управленческих решений:</w:t>
      </w:r>
    </w:p>
    <w:p w:rsidR="00ED7F17" w:rsidRDefault="00ED7F17" w:rsidP="00ED7F17">
      <w:pPr>
        <w:pStyle w:val="16"/>
        <w:numPr>
          <w:ilvl w:val="0"/>
          <w:numId w:val="12"/>
        </w:numPr>
        <w:tabs>
          <w:tab w:val="left" w:pos="993"/>
        </w:tabs>
        <w:spacing w:before="0" w:after="0" w:line="276" w:lineRule="auto"/>
        <w:ind w:left="0" w:firstLine="709"/>
        <w:contextualSpacing/>
        <w:jc w:val="both"/>
      </w:pPr>
      <w:r>
        <w:t>Качество организации и проведения диспансеризации, профилактических медицинских осмотров и диспансерного наблюдения пациентов высокого сердечно-сосудистого риска.</w:t>
      </w:r>
    </w:p>
    <w:p w:rsidR="00ED7F17" w:rsidRDefault="00ED7F17" w:rsidP="00ED7F17">
      <w:pPr>
        <w:pStyle w:val="16"/>
        <w:numPr>
          <w:ilvl w:val="0"/>
          <w:numId w:val="12"/>
        </w:numPr>
        <w:tabs>
          <w:tab w:val="left" w:pos="993"/>
        </w:tabs>
        <w:spacing w:before="0" w:after="0" w:line="276" w:lineRule="auto"/>
        <w:ind w:left="0" w:firstLine="709"/>
        <w:contextualSpacing/>
        <w:jc w:val="both"/>
      </w:pPr>
      <w:r>
        <w:t>Активная профилактика внегоспитальной смертности от БСК.</w:t>
      </w:r>
    </w:p>
    <w:p w:rsidR="00ED7F17" w:rsidRDefault="00ED7F17" w:rsidP="00ED7F17">
      <w:pPr>
        <w:pStyle w:val="16"/>
        <w:numPr>
          <w:ilvl w:val="0"/>
          <w:numId w:val="12"/>
        </w:numPr>
        <w:tabs>
          <w:tab w:val="left" w:pos="993"/>
        </w:tabs>
        <w:spacing w:before="0" w:after="0" w:line="276" w:lineRule="auto"/>
        <w:ind w:left="0" w:firstLine="709"/>
        <w:contextualSpacing/>
        <w:jc w:val="both"/>
      </w:pPr>
      <w:r>
        <w:t>Подготовка кадров в области профилактики неинфекционных заболеваний и формирования здорового образа жизни: обучение участковых терапевтов, а также врачей медицинской профилактики в отделениях (кабинетах) медицинской профилактики и центрах здоровья вопросам формирования ЗОЖ и профилактики НИЗ.</w:t>
      </w:r>
    </w:p>
    <w:p w:rsidR="00ED7F17" w:rsidRDefault="00ED7F17" w:rsidP="00ED7F17">
      <w:pPr>
        <w:pStyle w:val="16"/>
        <w:numPr>
          <w:ilvl w:val="0"/>
          <w:numId w:val="12"/>
        </w:numPr>
        <w:tabs>
          <w:tab w:val="left" w:pos="993"/>
        </w:tabs>
        <w:spacing w:before="0" w:after="0" w:line="276" w:lineRule="auto"/>
        <w:ind w:left="0" w:firstLine="709"/>
        <w:contextualSpacing/>
        <w:jc w:val="both"/>
      </w:pPr>
      <w:r>
        <w:t>Повышение запаса прочности (кадровых и материальных ресурсов) службы медицинской профилактики, снижение нагрузки на медицинских работников.</w:t>
      </w:r>
    </w:p>
    <w:p w:rsidR="00ED7F17" w:rsidRDefault="00ED7F17" w:rsidP="00ED7F17">
      <w:pPr>
        <w:pStyle w:val="16"/>
        <w:numPr>
          <w:ilvl w:val="0"/>
          <w:numId w:val="12"/>
        </w:numPr>
        <w:tabs>
          <w:tab w:val="left" w:pos="993"/>
        </w:tabs>
        <w:spacing w:before="0" w:after="0" w:line="276" w:lineRule="auto"/>
        <w:ind w:left="0" w:firstLine="709"/>
        <w:contextualSpacing/>
        <w:jc w:val="both"/>
      </w:pPr>
      <w:r>
        <w:t>Актуализация материалов о ЗОЖ в СМИ.</w:t>
      </w:r>
    </w:p>
    <w:p w:rsidR="00ED7F17" w:rsidRDefault="00ED7F17" w:rsidP="00ED7F17">
      <w:pPr>
        <w:pStyle w:val="16"/>
        <w:numPr>
          <w:ilvl w:val="0"/>
          <w:numId w:val="12"/>
        </w:numPr>
        <w:tabs>
          <w:tab w:val="left" w:pos="993"/>
        </w:tabs>
        <w:spacing w:before="0" w:after="0" w:line="276" w:lineRule="auto"/>
        <w:ind w:left="0" w:firstLine="709"/>
        <w:contextualSpacing/>
        <w:jc w:val="both"/>
      </w:pPr>
      <w:r>
        <w:t>Исполнение Федерального закона от 23.02.2013 № 15-ФЗ «Об охране здоровья граждан от воздействия окружающего табачного дыма и последствий потребления табака», продолжение и расширение мер, направленных на сокращение потребления табака в рамках реализации его основных положений.</w:t>
      </w:r>
    </w:p>
    <w:p w:rsidR="00ED7F17" w:rsidRDefault="00ED7F17" w:rsidP="00ED7F17">
      <w:pPr>
        <w:pStyle w:val="16"/>
        <w:numPr>
          <w:ilvl w:val="0"/>
          <w:numId w:val="12"/>
        </w:numPr>
        <w:tabs>
          <w:tab w:val="left" w:pos="993"/>
        </w:tabs>
        <w:spacing w:before="0" w:after="0" w:line="276" w:lineRule="auto"/>
        <w:ind w:left="0" w:firstLine="709"/>
        <w:contextualSpacing/>
        <w:jc w:val="both"/>
      </w:pPr>
      <w:r>
        <w:t>Повышение доступности и качества медицинской помощи больным сердечно-сосудистыми заболеваниями.</w:t>
      </w:r>
    </w:p>
    <w:p w:rsidR="00ED7F17" w:rsidRDefault="00ED7F17" w:rsidP="00ED7F17">
      <w:pPr>
        <w:pStyle w:val="16"/>
        <w:numPr>
          <w:ilvl w:val="0"/>
          <w:numId w:val="12"/>
        </w:numPr>
        <w:tabs>
          <w:tab w:val="left" w:pos="993"/>
        </w:tabs>
        <w:spacing w:before="0" w:after="0" w:line="276" w:lineRule="auto"/>
        <w:ind w:left="0" w:firstLine="709"/>
        <w:contextualSpacing/>
        <w:jc w:val="both"/>
      </w:pPr>
      <w:r>
        <w:t>Нормативное правовое регулирование в сфере ответственности граждан за здоровье, преодоление узковедомственных подходов в решении проблем укрепления общественного здоровья.</w:t>
      </w:r>
    </w:p>
    <w:p w:rsidR="00ED7F17" w:rsidRDefault="00ED7F17" w:rsidP="00ED7F17">
      <w:pPr>
        <w:ind w:firstLine="709"/>
        <w:jc w:val="both"/>
      </w:pPr>
    </w:p>
    <w:p w:rsidR="00ED7F17" w:rsidRDefault="00ED7F17" w:rsidP="00ED7F17">
      <w:pPr>
        <w:ind w:firstLine="709"/>
        <w:jc w:val="both"/>
        <w:rPr>
          <w:rFonts w:ascii="Arial" w:hAnsi="Arial" w:cs="Arial"/>
          <w:sz w:val="22"/>
          <w:szCs w:val="22"/>
        </w:rPr>
      </w:pPr>
      <w:r>
        <w:rPr>
          <w:b/>
        </w:rPr>
        <w:t>1.10.2. Стратегические направления в области создания единой профилактической среды в регионе:</w:t>
      </w:r>
    </w:p>
    <w:p w:rsidR="00ED7F17" w:rsidRDefault="00ED7F17" w:rsidP="00ED7F17">
      <w:pPr>
        <w:pStyle w:val="16"/>
        <w:numPr>
          <w:ilvl w:val="0"/>
          <w:numId w:val="12"/>
        </w:numPr>
        <w:tabs>
          <w:tab w:val="left" w:pos="993"/>
        </w:tabs>
        <w:spacing w:before="0" w:after="0" w:line="276" w:lineRule="auto"/>
        <w:ind w:left="0" w:firstLine="709"/>
        <w:contextualSpacing/>
        <w:jc w:val="both"/>
      </w:pPr>
      <w:r>
        <w:t>Снижение популяционного риска сердечно-сосудистых заболеваний в масштабах всего населения Астраханской области путем повышения мотивации к здоровому образу жизни и созданию для этого условий на основе межсекторального взаимодействия (действия, сосредоточенные на 4-х факторах риска НИЗ, связанных с нездоровым образом жизни: курением, нездоровым питанием, НФА, пагубным употреблением алкоголя).</w:t>
      </w:r>
    </w:p>
    <w:p w:rsidR="00ED7F17" w:rsidRDefault="00ED7F17" w:rsidP="00ED7F17">
      <w:pPr>
        <w:pStyle w:val="16"/>
        <w:numPr>
          <w:ilvl w:val="0"/>
          <w:numId w:val="12"/>
        </w:numPr>
        <w:tabs>
          <w:tab w:val="left" w:pos="993"/>
        </w:tabs>
        <w:spacing w:before="0" w:after="0" w:line="276" w:lineRule="auto"/>
        <w:ind w:left="0" w:firstLine="709"/>
        <w:contextualSpacing/>
        <w:jc w:val="both"/>
      </w:pPr>
      <w:r>
        <w:t>Снижение доли граждан с высоким индивидуальным риском сердечно-сосудистых заболеваний, а также доли граждан, имеющих эти заболевания (диспансеризация, центры здоровья), на основе индивидуального подхода к коррекции поведенческих факторов риска НИЗ и биологических факторов риска НИЗ (ожирение, артериальная гипертония, гиперлипидемия, гипергликемия).</w:t>
      </w:r>
    </w:p>
    <w:p w:rsidR="00ED7F17" w:rsidRDefault="00ED7F17" w:rsidP="00ED7F17">
      <w:pPr>
        <w:pStyle w:val="16"/>
        <w:numPr>
          <w:ilvl w:val="0"/>
          <w:numId w:val="12"/>
        </w:numPr>
        <w:tabs>
          <w:tab w:val="left" w:pos="993"/>
        </w:tabs>
        <w:spacing w:before="0" w:after="0" w:line="276" w:lineRule="auto"/>
        <w:ind w:left="0" w:firstLine="709"/>
        <w:contextualSpacing/>
        <w:jc w:val="both"/>
      </w:pPr>
      <w:r>
        <w:t>Разработка комплекса мер вторичной профилактики сердечно-сосудистых заболеваний в рамках участковой службы первичного звена здравоохранения.</w:t>
      </w:r>
    </w:p>
    <w:p w:rsidR="00ED7F17" w:rsidRDefault="00ED7F17" w:rsidP="00ED7F17">
      <w:pPr>
        <w:pStyle w:val="16"/>
        <w:numPr>
          <w:ilvl w:val="0"/>
          <w:numId w:val="12"/>
        </w:numPr>
        <w:tabs>
          <w:tab w:val="left" w:pos="993"/>
        </w:tabs>
        <w:spacing w:before="0" w:after="0" w:line="276" w:lineRule="auto"/>
        <w:ind w:left="0" w:firstLine="709"/>
        <w:contextualSpacing/>
        <w:jc w:val="both"/>
      </w:pPr>
      <w:r>
        <w:t>Обеспечение широкой доступности мер вторичной профилактики заболеваний на уровне специализированной (в том числе высокотехнологичной) медицинской помощи.</w:t>
      </w:r>
    </w:p>
    <w:p w:rsidR="00ED7F17" w:rsidRDefault="00ED7F17" w:rsidP="00ED7F17">
      <w:pPr>
        <w:ind w:left="720" w:firstLine="709"/>
        <w:jc w:val="both"/>
      </w:pPr>
    </w:p>
    <w:p w:rsidR="00ED7F17" w:rsidRDefault="00ED7F17" w:rsidP="00ED7F17">
      <w:pPr>
        <w:spacing w:after="200"/>
        <w:ind w:firstLine="708"/>
        <w:jc w:val="both"/>
        <w:rPr>
          <w:rFonts w:ascii="Arial" w:hAnsi="Arial" w:cs="Arial"/>
          <w:sz w:val="22"/>
          <w:szCs w:val="22"/>
        </w:rPr>
      </w:pPr>
      <w:r>
        <w:rPr>
          <w:rFonts w:eastAsia="Calibri"/>
          <w:b/>
          <w:bCs/>
        </w:rPr>
        <w:t>2. Цель, показатели и сроки реализации региональной программы по борьбе с сердечно-сосудистыми заболеваниями</w:t>
      </w:r>
    </w:p>
    <w:p w:rsidR="00ED7F17" w:rsidRDefault="00ED7F17" w:rsidP="00ED7F17">
      <w:pPr>
        <w:ind w:firstLine="860"/>
        <w:jc w:val="both"/>
      </w:pPr>
      <w:r>
        <w:rPr>
          <w:rFonts w:eastAsia="Calibri"/>
        </w:rPr>
        <w:t>Снижение смертности от болезней системы кровообращения до 408,8 случаев на 100 тыс. населения к 2024 году, а также снижение больничной летальности от инфаркта миокарда до 9% и от острого нарушения мозгового кровообращения до 14% в 2024 году, увеличение количества рентгенэндоваскулярных вмешательств в лечебных целях в 2024 году до 2079 ед.</w:t>
      </w:r>
    </w:p>
    <w:p w:rsidR="00ED7F17" w:rsidRDefault="00ED7F17" w:rsidP="00ED7F17"/>
    <w:tbl>
      <w:tblPr>
        <w:tblW w:w="0" w:type="auto"/>
        <w:tblInd w:w="-11" w:type="dxa"/>
        <w:tblLayout w:type="fixed"/>
        <w:tblCellMar>
          <w:left w:w="0" w:type="dxa"/>
          <w:right w:w="28" w:type="dxa"/>
        </w:tblCellMar>
        <w:tblLook w:val="04A0" w:firstRow="1" w:lastRow="0" w:firstColumn="1" w:lastColumn="0" w:noHBand="0" w:noVBand="1"/>
      </w:tblPr>
      <w:tblGrid>
        <w:gridCol w:w="390"/>
        <w:gridCol w:w="3690"/>
        <w:gridCol w:w="1024"/>
        <w:gridCol w:w="791"/>
        <w:gridCol w:w="735"/>
        <w:gridCol w:w="570"/>
        <w:gridCol w:w="734"/>
        <w:gridCol w:w="735"/>
        <w:gridCol w:w="914"/>
      </w:tblGrid>
      <w:tr w:rsidR="00ED7F17" w:rsidTr="00ED7F17">
        <w:trPr>
          <w:cantSplit/>
        </w:trPr>
        <w:tc>
          <w:tcPr>
            <w:tcW w:w="390" w:type="dxa"/>
            <w:vMerge w:val="restart"/>
            <w:tcBorders>
              <w:top w:val="single" w:sz="4" w:space="0" w:color="00000A"/>
              <w:left w:val="single" w:sz="4" w:space="0" w:color="00000A"/>
              <w:bottom w:val="single" w:sz="4" w:space="0" w:color="000080"/>
              <w:right w:val="nil"/>
            </w:tcBorders>
            <w:shd w:val="clear" w:color="auto" w:fill="FFFFFF"/>
            <w:vAlign w:val="center"/>
            <w:hideMark/>
          </w:tcPr>
          <w:p w:rsidR="00ED7F17" w:rsidRDefault="00ED7F17">
            <w:pPr>
              <w:spacing w:after="200" w:line="240" w:lineRule="atLeast"/>
              <w:jc w:val="center"/>
              <w:rPr>
                <w:rFonts w:ascii="Arial" w:eastAsia="Arial" w:hAnsi="Arial" w:cs="Arial"/>
                <w:sz w:val="22"/>
                <w:szCs w:val="22"/>
              </w:rPr>
            </w:pPr>
            <w:r>
              <w:rPr>
                <w:sz w:val="20"/>
                <w:szCs w:val="20"/>
              </w:rPr>
              <w:t>№ п/п</w:t>
            </w:r>
          </w:p>
        </w:tc>
        <w:tc>
          <w:tcPr>
            <w:tcW w:w="3690" w:type="dxa"/>
            <w:vMerge w:val="restart"/>
            <w:tcBorders>
              <w:top w:val="single" w:sz="4" w:space="0" w:color="00000A"/>
              <w:left w:val="single" w:sz="4" w:space="0" w:color="00000A"/>
              <w:bottom w:val="single" w:sz="4" w:space="0" w:color="000080"/>
              <w:right w:val="nil"/>
            </w:tcBorders>
            <w:shd w:val="clear" w:color="auto" w:fill="FFFFFF"/>
            <w:vAlign w:val="center"/>
            <w:hideMark/>
          </w:tcPr>
          <w:p w:rsidR="00ED7F17" w:rsidRDefault="00ED7F17">
            <w:pPr>
              <w:spacing w:after="200" w:line="240" w:lineRule="atLeast"/>
              <w:jc w:val="center"/>
              <w:rPr>
                <w:rFonts w:ascii="Arial" w:eastAsia="Arial" w:hAnsi="Arial" w:cs="Arial"/>
                <w:sz w:val="22"/>
                <w:szCs w:val="22"/>
              </w:rPr>
            </w:pPr>
            <w:r>
              <w:rPr>
                <w:sz w:val="20"/>
                <w:szCs w:val="20"/>
              </w:rPr>
              <w:t>Наименование показателя</w:t>
            </w:r>
          </w:p>
        </w:tc>
        <w:tc>
          <w:tcPr>
            <w:tcW w:w="1024" w:type="dxa"/>
            <w:vMerge w:val="restart"/>
            <w:tcBorders>
              <w:top w:val="single" w:sz="4" w:space="0" w:color="00000A"/>
              <w:left w:val="single" w:sz="4" w:space="0" w:color="00000A"/>
              <w:bottom w:val="nil"/>
              <w:right w:val="nil"/>
            </w:tcBorders>
            <w:shd w:val="clear" w:color="auto" w:fill="FFFFFF"/>
            <w:vAlign w:val="center"/>
            <w:hideMark/>
          </w:tcPr>
          <w:p w:rsidR="00ED7F17" w:rsidRDefault="00ED7F17">
            <w:pPr>
              <w:snapToGrid w:val="0"/>
              <w:spacing w:after="200" w:line="240" w:lineRule="atLeast"/>
              <w:jc w:val="center"/>
              <w:rPr>
                <w:rFonts w:ascii="Arial" w:eastAsia="Arial" w:hAnsi="Arial" w:cs="Arial"/>
                <w:sz w:val="22"/>
                <w:szCs w:val="22"/>
              </w:rPr>
            </w:pPr>
            <w:r>
              <w:rPr>
                <w:sz w:val="20"/>
                <w:szCs w:val="20"/>
              </w:rPr>
              <w:t>Базовое значение значение на 31.12.2017</w:t>
            </w:r>
          </w:p>
        </w:tc>
        <w:tc>
          <w:tcPr>
            <w:tcW w:w="4479" w:type="dxa"/>
            <w:gridSpan w:val="6"/>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ED7F17" w:rsidRDefault="00ED7F17">
            <w:pPr>
              <w:spacing w:after="200" w:line="240" w:lineRule="atLeast"/>
              <w:jc w:val="center"/>
              <w:rPr>
                <w:rFonts w:ascii="Arial" w:eastAsia="Arial" w:hAnsi="Arial" w:cs="Arial"/>
                <w:sz w:val="22"/>
                <w:szCs w:val="22"/>
              </w:rPr>
            </w:pPr>
            <w:r>
              <w:rPr>
                <w:sz w:val="20"/>
                <w:szCs w:val="20"/>
              </w:rPr>
              <w:t>Период, год</w:t>
            </w:r>
          </w:p>
        </w:tc>
      </w:tr>
      <w:tr w:rsidR="00ED7F17" w:rsidTr="00ED7F17">
        <w:trPr>
          <w:cantSplit/>
          <w:trHeight w:val="311"/>
        </w:trPr>
        <w:tc>
          <w:tcPr>
            <w:tcW w:w="390" w:type="dxa"/>
            <w:vMerge/>
            <w:tcBorders>
              <w:top w:val="single" w:sz="4" w:space="0" w:color="00000A"/>
              <w:left w:val="single" w:sz="4" w:space="0" w:color="00000A"/>
              <w:bottom w:val="single" w:sz="4" w:space="0" w:color="000080"/>
              <w:right w:val="nil"/>
            </w:tcBorders>
            <w:vAlign w:val="center"/>
            <w:hideMark/>
          </w:tcPr>
          <w:p w:rsidR="00ED7F17" w:rsidRDefault="00ED7F17">
            <w:pPr>
              <w:suppressAutoHyphens w:val="0"/>
              <w:rPr>
                <w:rFonts w:ascii="Arial" w:eastAsia="Arial" w:hAnsi="Arial" w:cs="Arial"/>
                <w:sz w:val="22"/>
                <w:szCs w:val="22"/>
              </w:rPr>
            </w:pPr>
          </w:p>
        </w:tc>
        <w:tc>
          <w:tcPr>
            <w:tcW w:w="3690" w:type="dxa"/>
            <w:vMerge/>
            <w:tcBorders>
              <w:top w:val="single" w:sz="4" w:space="0" w:color="00000A"/>
              <w:left w:val="single" w:sz="4" w:space="0" w:color="00000A"/>
              <w:bottom w:val="single" w:sz="4" w:space="0" w:color="000080"/>
              <w:right w:val="nil"/>
            </w:tcBorders>
            <w:vAlign w:val="center"/>
            <w:hideMark/>
          </w:tcPr>
          <w:p w:rsidR="00ED7F17" w:rsidRDefault="00ED7F17">
            <w:pPr>
              <w:suppressAutoHyphens w:val="0"/>
              <w:rPr>
                <w:rFonts w:ascii="Arial" w:eastAsia="Arial" w:hAnsi="Arial" w:cs="Arial"/>
                <w:sz w:val="22"/>
                <w:szCs w:val="22"/>
              </w:rPr>
            </w:pPr>
          </w:p>
        </w:tc>
        <w:tc>
          <w:tcPr>
            <w:tcW w:w="1024" w:type="dxa"/>
            <w:vMerge/>
            <w:tcBorders>
              <w:top w:val="single" w:sz="4" w:space="0" w:color="00000A"/>
              <w:left w:val="single" w:sz="4" w:space="0" w:color="00000A"/>
              <w:bottom w:val="nil"/>
              <w:right w:val="nil"/>
            </w:tcBorders>
            <w:vAlign w:val="center"/>
            <w:hideMark/>
          </w:tcPr>
          <w:p w:rsidR="00ED7F17" w:rsidRDefault="00ED7F17">
            <w:pPr>
              <w:suppressAutoHyphens w:val="0"/>
              <w:rPr>
                <w:rFonts w:ascii="Arial" w:eastAsia="Arial" w:hAnsi="Arial" w:cs="Arial"/>
                <w:sz w:val="22"/>
                <w:szCs w:val="22"/>
              </w:rPr>
            </w:pPr>
          </w:p>
        </w:tc>
        <w:tc>
          <w:tcPr>
            <w:tcW w:w="791" w:type="dxa"/>
            <w:tcBorders>
              <w:top w:val="single" w:sz="4" w:space="0" w:color="000080"/>
              <w:left w:val="single" w:sz="4" w:space="0" w:color="000080"/>
              <w:bottom w:val="nil"/>
              <w:right w:val="nil"/>
            </w:tcBorders>
            <w:shd w:val="clear" w:color="auto" w:fill="FFFFFF"/>
            <w:vAlign w:val="center"/>
            <w:hideMark/>
          </w:tcPr>
          <w:p w:rsidR="00ED7F17" w:rsidRDefault="00ED7F17">
            <w:pPr>
              <w:spacing w:after="200" w:line="240" w:lineRule="atLeast"/>
              <w:jc w:val="center"/>
              <w:rPr>
                <w:rFonts w:ascii="Arial" w:eastAsia="Arial" w:hAnsi="Arial" w:cs="Arial"/>
                <w:sz w:val="22"/>
                <w:szCs w:val="22"/>
              </w:rPr>
            </w:pPr>
            <w:r>
              <w:rPr>
                <w:sz w:val="20"/>
                <w:szCs w:val="20"/>
              </w:rPr>
              <w:t>2019</w:t>
            </w:r>
          </w:p>
        </w:tc>
        <w:tc>
          <w:tcPr>
            <w:tcW w:w="735" w:type="dxa"/>
            <w:tcBorders>
              <w:top w:val="single" w:sz="4" w:space="0" w:color="000080"/>
              <w:left w:val="single" w:sz="4" w:space="0" w:color="000080"/>
              <w:bottom w:val="nil"/>
              <w:right w:val="nil"/>
            </w:tcBorders>
            <w:shd w:val="clear" w:color="auto" w:fill="FFFFFF"/>
            <w:vAlign w:val="center"/>
            <w:hideMark/>
          </w:tcPr>
          <w:p w:rsidR="00ED7F17" w:rsidRDefault="00ED7F17">
            <w:pPr>
              <w:spacing w:after="200" w:line="240" w:lineRule="atLeast"/>
              <w:jc w:val="center"/>
              <w:rPr>
                <w:rFonts w:ascii="Arial" w:eastAsia="Arial" w:hAnsi="Arial" w:cs="Arial"/>
                <w:sz w:val="22"/>
                <w:szCs w:val="22"/>
              </w:rPr>
            </w:pPr>
            <w:r>
              <w:rPr>
                <w:sz w:val="20"/>
                <w:szCs w:val="20"/>
              </w:rPr>
              <w:t>2020</w:t>
            </w:r>
          </w:p>
        </w:tc>
        <w:tc>
          <w:tcPr>
            <w:tcW w:w="570" w:type="dxa"/>
            <w:tcBorders>
              <w:top w:val="single" w:sz="4" w:space="0" w:color="000080"/>
              <w:left w:val="single" w:sz="4" w:space="0" w:color="000080"/>
              <w:bottom w:val="nil"/>
              <w:right w:val="nil"/>
            </w:tcBorders>
            <w:shd w:val="clear" w:color="auto" w:fill="FFFFFF"/>
            <w:vAlign w:val="center"/>
            <w:hideMark/>
          </w:tcPr>
          <w:p w:rsidR="00ED7F17" w:rsidRDefault="00ED7F17">
            <w:pPr>
              <w:spacing w:after="200" w:line="240" w:lineRule="atLeast"/>
              <w:jc w:val="center"/>
              <w:rPr>
                <w:rFonts w:ascii="Arial" w:eastAsia="Arial" w:hAnsi="Arial" w:cs="Arial"/>
                <w:sz w:val="22"/>
                <w:szCs w:val="22"/>
              </w:rPr>
            </w:pPr>
            <w:r>
              <w:rPr>
                <w:sz w:val="20"/>
                <w:szCs w:val="20"/>
              </w:rPr>
              <w:t>2021</w:t>
            </w:r>
          </w:p>
        </w:tc>
        <w:tc>
          <w:tcPr>
            <w:tcW w:w="734" w:type="dxa"/>
            <w:tcBorders>
              <w:top w:val="single" w:sz="4" w:space="0" w:color="000080"/>
              <w:left w:val="single" w:sz="4" w:space="0" w:color="000080"/>
              <w:bottom w:val="nil"/>
              <w:right w:val="nil"/>
            </w:tcBorders>
            <w:shd w:val="clear" w:color="auto" w:fill="FFFFFF"/>
            <w:vAlign w:val="center"/>
            <w:hideMark/>
          </w:tcPr>
          <w:p w:rsidR="00ED7F17" w:rsidRDefault="00ED7F17">
            <w:pPr>
              <w:spacing w:after="200" w:line="240" w:lineRule="atLeast"/>
              <w:jc w:val="center"/>
              <w:rPr>
                <w:rFonts w:ascii="Arial" w:eastAsia="Arial" w:hAnsi="Arial" w:cs="Arial"/>
                <w:sz w:val="22"/>
                <w:szCs w:val="22"/>
              </w:rPr>
            </w:pPr>
            <w:r>
              <w:rPr>
                <w:sz w:val="20"/>
                <w:szCs w:val="20"/>
              </w:rPr>
              <w:t>2022</w:t>
            </w:r>
          </w:p>
        </w:tc>
        <w:tc>
          <w:tcPr>
            <w:tcW w:w="735" w:type="dxa"/>
            <w:tcBorders>
              <w:top w:val="single" w:sz="4" w:space="0" w:color="000080"/>
              <w:left w:val="single" w:sz="4" w:space="0" w:color="000080"/>
              <w:bottom w:val="single" w:sz="4" w:space="0" w:color="000080"/>
              <w:right w:val="nil"/>
            </w:tcBorders>
            <w:shd w:val="clear" w:color="auto" w:fill="FFFFFF"/>
            <w:vAlign w:val="center"/>
            <w:hideMark/>
          </w:tcPr>
          <w:p w:rsidR="00ED7F17" w:rsidRDefault="00ED7F17">
            <w:pPr>
              <w:spacing w:after="200" w:line="240" w:lineRule="atLeast"/>
              <w:jc w:val="center"/>
              <w:rPr>
                <w:rFonts w:ascii="Arial" w:eastAsia="Arial" w:hAnsi="Arial" w:cs="Arial"/>
                <w:sz w:val="22"/>
                <w:szCs w:val="22"/>
              </w:rPr>
            </w:pPr>
            <w:r>
              <w:rPr>
                <w:sz w:val="20"/>
                <w:szCs w:val="20"/>
              </w:rPr>
              <w:t>2023</w:t>
            </w:r>
          </w:p>
        </w:tc>
        <w:tc>
          <w:tcPr>
            <w:tcW w:w="914" w:type="dxa"/>
            <w:tcBorders>
              <w:top w:val="single" w:sz="4" w:space="0" w:color="000080"/>
              <w:left w:val="single" w:sz="4" w:space="0" w:color="000080"/>
              <w:bottom w:val="nil"/>
              <w:right w:val="single" w:sz="4" w:space="0" w:color="000080"/>
            </w:tcBorders>
            <w:shd w:val="clear" w:color="auto" w:fill="FFFFFF"/>
            <w:vAlign w:val="center"/>
            <w:hideMark/>
          </w:tcPr>
          <w:p w:rsidR="00ED7F17" w:rsidRDefault="00ED7F17">
            <w:pPr>
              <w:spacing w:after="200" w:line="240" w:lineRule="atLeast"/>
              <w:jc w:val="center"/>
              <w:rPr>
                <w:rFonts w:ascii="Arial" w:eastAsia="Arial" w:hAnsi="Arial" w:cs="Arial"/>
                <w:sz w:val="22"/>
                <w:szCs w:val="22"/>
              </w:rPr>
            </w:pPr>
            <w:r>
              <w:rPr>
                <w:sz w:val="20"/>
                <w:szCs w:val="20"/>
              </w:rPr>
              <w:t>2024</w:t>
            </w:r>
          </w:p>
        </w:tc>
      </w:tr>
      <w:tr w:rsidR="00ED7F17" w:rsidTr="00ED7F17">
        <w:trPr>
          <w:cantSplit/>
          <w:trHeight w:val="340"/>
        </w:trPr>
        <w:tc>
          <w:tcPr>
            <w:tcW w:w="390" w:type="dxa"/>
            <w:tcBorders>
              <w:top w:val="single" w:sz="4" w:space="0" w:color="000080"/>
              <w:left w:val="single" w:sz="4" w:space="0" w:color="000080"/>
              <w:bottom w:val="single" w:sz="4" w:space="0" w:color="000080"/>
              <w:right w:val="nil"/>
            </w:tcBorders>
            <w:shd w:val="clear" w:color="auto" w:fill="FFFFFF"/>
            <w:hideMark/>
          </w:tcPr>
          <w:p w:rsidR="00ED7F17" w:rsidRDefault="00ED7F17">
            <w:pPr>
              <w:spacing w:after="200" w:line="240" w:lineRule="atLeast"/>
              <w:jc w:val="center"/>
              <w:rPr>
                <w:rFonts w:ascii="Arial" w:eastAsia="Arial" w:hAnsi="Arial" w:cs="Arial"/>
                <w:sz w:val="22"/>
                <w:szCs w:val="22"/>
              </w:rPr>
            </w:pPr>
            <w:r>
              <w:rPr>
                <w:sz w:val="20"/>
                <w:szCs w:val="20"/>
                <w:lang w:val="en-US"/>
              </w:rPr>
              <w:t>1</w:t>
            </w:r>
            <w:r>
              <w:rPr>
                <w:sz w:val="20"/>
                <w:szCs w:val="20"/>
              </w:rPr>
              <w:t>.</w:t>
            </w:r>
          </w:p>
        </w:tc>
        <w:tc>
          <w:tcPr>
            <w:tcW w:w="3690" w:type="dxa"/>
            <w:tcBorders>
              <w:top w:val="single" w:sz="4" w:space="0" w:color="000080"/>
              <w:left w:val="single" w:sz="4" w:space="0" w:color="000080"/>
              <w:bottom w:val="single" w:sz="4" w:space="0" w:color="000080"/>
              <w:right w:val="nil"/>
            </w:tcBorders>
            <w:shd w:val="clear" w:color="auto" w:fill="FFFFFF"/>
            <w:vAlign w:val="center"/>
            <w:hideMark/>
          </w:tcPr>
          <w:p w:rsidR="00ED7F17" w:rsidRDefault="00ED7F17">
            <w:pPr>
              <w:rPr>
                <w:rFonts w:ascii="Arial" w:eastAsia="Arial" w:hAnsi="Arial" w:cs="Arial"/>
                <w:sz w:val="22"/>
                <w:szCs w:val="22"/>
              </w:rPr>
            </w:pPr>
            <w:r>
              <w:rPr>
                <w:color w:val="000000"/>
                <w:sz w:val="20"/>
                <w:szCs w:val="20"/>
              </w:rPr>
              <w:t>Смертности от инфаркта миокарда, на 100 тыс. населения</w:t>
            </w:r>
          </w:p>
        </w:tc>
        <w:tc>
          <w:tcPr>
            <w:tcW w:w="1024" w:type="dxa"/>
            <w:tcBorders>
              <w:top w:val="single" w:sz="4" w:space="0" w:color="000080"/>
              <w:left w:val="single" w:sz="4" w:space="0" w:color="000080"/>
              <w:bottom w:val="single" w:sz="4" w:space="0" w:color="000080"/>
              <w:right w:val="nil"/>
            </w:tcBorders>
            <w:shd w:val="clear" w:color="auto" w:fill="FFFFFF"/>
            <w:vAlign w:val="center"/>
            <w:hideMark/>
          </w:tcPr>
          <w:p w:rsidR="00ED7F17" w:rsidRDefault="00ED7F17">
            <w:pPr>
              <w:jc w:val="center"/>
              <w:rPr>
                <w:rFonts w:ascii="Arial" w:eastAsia="Arial" w:hAnsi="Arial" w:cs="Arial"/>
                <w:sz w:val="22"/>
                <w:szCs w:val="22"/>
              </w:rPr>
            </w:pPr>
            <w:r>
              <w:rPr>
                <w:sz w:val="20"/>
                <w:szCs w:val="20"/>
              </w:rPr>
              <w:t>53,4</w:t>
            </w:r>
          </w:p>
        </w:tc>
        <w:tc>
          <w:tcPr>
            <w:tcW w:w="791" w:type="dxa"/>
            <w:tcBorders>
              <w:top w:val="single" w:sz="4" w:space="0" w:color="000080"/>
              <w:left w:val="single" w:sz="4" w:space="0" w:color="000080"/>
              <w:bottom w:val="single" w:sz="4" w:space="0" w:color="000080"/>
              <w:right w:val="nil"/>
            </w:tcBorders>
            <w:shd w:val="clear" w:color="auto" w:fill="FFFFFF"/>
            <w:vAlign w:val="center"/>
            <w:hideMark/>
          </w:tcPr>
          <w:p w:rsidR="00ED7F17" w:rsidRDefault="00ED7F17">
            <w:pPr>
              <w:jc w:val="center"/>
              <w:rPr>
                <w:rFonts w:ascii="Arial" w:eastAsia="Arial" w:hAnsi="Arial" w:cs="Arial"/>
                <w:sz w:val="22"/>
                <w:szCs w:val="22"/>
              </w:rPr>
            </w:pPr>
            <w:r>
              <w:rPr>
                <w:sz w:val="20"/>
                <w:szCs w:val="20"/>
              </w:rPr>
              <w:t>49,6</w:t>
            </w:r>
          </w:p>
        </w:tc>
        <w:tc>
          <w:tcPr>
            <w:tcW w:w="735" w:type="dxa"/>
            <w:tcBorders>
              <w:top w:val="single" w:sz="4" w:space="0" w:color="000080"/>
              <w:left w:val="single" w:sz="4" w:space="0" w:color="000080"/>
              <w:bottom w:val="single" w:sz="4" w:space="0" w:color="000080"/>
              <w:right w:val="nil"/>
            </w:tcBorders>
            <w:shd w:val="clear" w:color="auto" w:fill="FFFFFF"/>
            <w:vAlign w:val="center"/>
            <w:hideMark/>
          </w:tcPr>
          <w:p w:rsidR="00ED7F17" w:rsidRDefault="00ED7F17">
            <w:pPr>
              <w:jc w:val="center"/>
              <w:rPr>
                <w:rFonts w:ascii="Arial" w:eastAsia="Arial" w:hAnsi="Arial" w:cs="Arial"/>
                <w:sz w:val="22"/>
                <w:szCs w:val="22"/>
              </w:rPr>
            </w:pPr>
            <w:r>
              <w:rPr>
                <w:sz w:val="20"/>
                <w:szCs w:val="20"/>
              </w:rPr>
              <w:t>47,7</w:t>
            </w:r>
          </w:p>
        </w:tc>
        <w:tc>
          <w:tcPr>
            <w:tcW w:w="570" w:type="dxa"/>
            <w:tcBorders>
              <w:top w:val="single" w:sz="4" w:space="0" w:color="000080"/>
              <w:left w:val="single" w:sz="4" w:space="0" w:color="000080"/>
              <w:bottom w:val="single" w:sz="4" w:space="0" w:color="000080"/>
              <w:right w:val="nil"/>
            </w:tcBorders>
            <w:shd w:val="clear" w:color="auto" w:fill="FFFFFF"/>
            <w:vAlign w:val="center"/>
            <w:hideMark/>
          </w:tcPr>
          <w:p w:rsidR="00ED7F17" w:rsidRDefault="00ED7F17">
            <w:pPr>
              <w:jc w:val="center"/>
              <w:rPr>
                <w:rFonts w:ascii="Arial" w:eastAsia="Arial" w:hAnsi="Arial" w:cs="Arial"/>
                <w:sz w:val="22"/>
                <w:szCs w:val="22"/>
              </w:rPr>
            </w:pPr>
            <w:r>
              <w:rPr>
                <w:sz w:val="20"/>
                <w:szCs w:val="20"/>
              </w:rPr>
              <w:t>45,9</w:t>
            </w:r>
          </w:p>
        </w:tc>
        <w:tc>
          <w:tcPr>
            <w:tcW w:w="734" w:type="dxa"/>
            <w:tcBorders>
              <w:top w:val="single" w:sz="4" w:space="0" w:color="000080"/>
              <w:left w:val="single" w:sz="4" w:space="0" w:color="000080"/>
              <w:bottom w:val="single" w:sz="4" w:space="0" w:color="000080"/>
              <w:right w:val="nil"/>
            </w:tcBorders>
            <w:shd w:val="clear" w:color="auto" w:fill="FFFFFF"/>
            <w:vAlign w:val="center"/>
            <w:hideMark/>
          </w:tcPr>
          <w:p w:rsidR="00ED7F17" w:rsidRDefault="00ED7F17">
            <w:pPr>
              <w:jc w:val="center"/>
              <w:rPr>
                <w:rFonts w:ascii="Arial" w:eastAsia="Arial" w:hAnsi="Arial" w:cs="Arial"/>
                <w:sz w:val="22"/>
                <w:szCs w:val="22"/>
              </w:rPr>
            </w:pPr>
            <w:r>
              <w:rPr>
                <w:sz w:val="20"/>
                <w:szCs w:val="20"/>
              </w:rPr>
              <w:t>44,1</w:t>
            </w:r>
          </w:p>
        </w:tc>
        <w:tc>
          <w:tcPr>
            <w:tcW w:w="735" w:type="dxa"/>
            <w:tcBorders>
              <w:top w:val="single" w:sz="4" w:space="0" w:color="000080"/>
              <w:left w:val="single" w:sz="4" w:space="0" w:color="000080"/>
              <w:bottom w:val="single" w:sz="4" w:space="0" w:color="000080"/>
              <w:right w:val="nil"/>
            </w:tcBorders>
            <w:shd w:val="clear" w:color="auto" w:fill="FFFFFF"/>
            <w:vAlign w:val="center"/>
            <w:hideMark/>
          </w:tcPr>
          <w:p w:rsidR="00ED7F17" w:rsidRDefault="00ED7F17">
            <w:pPr>
              <w:jc w:val="center"/>
              <w:rPr>
                <w:rFonts w:ascii="Arial" w:eastAsia="Arial" w:hAnsi="Arial" w:cs="Arial"/>
                <w:sz w:val="22"/>
                <w:szCs w:val="22"/>
              </w:rPr>
            </w:pPr>
            <w:r>
              <w:rPr>
                <w:sz w:val="20"/>
                <w:szCs w:val="20"/>
              </w:rPr>
              <w:t>42,3</w:t>
            </w:r>
          </w:p>
        </w:tc>
        <w:tc>
          <w:tcPr>
            <w:tcW w:w="914" w:type="dxa"/>
            <w:tcBorders>
              <w:top w:val="single" w:sz="4" w:space="0" w:color="000080"/>
              <w:left w:val="single" w:sz="4" w:space="0" w:color="000080"/>
              <w:bottom w:val="single" w:sz="4" w:space="0" w:color="000080"/>
              <w:right w:val="single" w:sz="4" w:space="0" w:color="000080"/>
            </w:tcBorders>
            <w:shd w:val="clear" w:color="auto" w:fill="FFFFFF"/>
            <w:vAlign w:val="center"/>
            <w:hideMark/>
          </w:tcPr>
          <w:p w:rsidR="00ED7F17" w:rsidRDefault="00ED7F17">
            <w:pPr>
              <w:jc w:val="center"/>
              <w:rPr>
                <w:rFonts w:ascii="Arial" w:eastAsia="Arial" w:hAnsi="Arial" w:cs="Arial"/>
                <w:sz w:val="22"/>
                <w:szCs w:val="22"/>
              </w:rPr>
            </w:pPr>
            <w:r>
              <w:rPr>
                <w:sz w:val="20"/>
                <w:szCs w:val="20"/>
              </w:rPr>
              <w:t>40,9</w:t>
            </w:r>
          </w:p>
        </w:tc>
      </w:tr>
      <w:tr w:rsidR="00ED7F17" w:rsidTr="00ED7F17">
        <w:trPr>
          <w:cantSplit/>
          <w:trHeight w:val="651"/>
        </w:trPr>
        <w:tc>
          <w:tcPr>
            <w:tcW w:w="390" w:type="dxa"/>
            <w:tcBorders>
              <w:top w:val="single" w:sz="4" w:space="0" w:color="000080"/>
              <w:left w:val="single" w:sz="4" w:space="0" w:color="000080"/>
              <w:bottom w:val="single" w:sz="4" w:space="0" w:color="000080"/>
              <w:right w:val="nil"/>
            </w:tcBorders>
            <w:shd w:val="clear" w:color="auto" w:fill="FFFFFF"/>
            <w:hideMark/>
          </w:tcPr>
          <w:p w:rsidR="00ED7F17" w:rsidRDefault="00ED7F17">
            <w:pPr>
              <w:spacing w:after="200" w:line="240" w:lineRule="atLeast"/>
              <w:jc w:val="center"/>
              <w:rPr>
                <w:rFonts w:ascii="Arial" w:eastAsia="Arial" w:hAnsi="Arial" w:cs="Arial"/>
                <w:sz w:val="22"/>
                <w:szCs w:val="22"/>
              </w:rPr>
            </w:pPr>
            <w:r>
              <w:rPr>
                <w:sz w:val="20"/>
                <w:szCs w:val="20"/>
                <w:lang w:val="en-US"/>
              </w:rPr>
              <w:t>2</w:t>
            </w:r>
            <w:r>
              <w:rPr>
                <w:sz w:val="20"/>
                <w:szCs w:val="20"/>
              </w:rPr>
              <w:t>.</w:t>
            </w:r>
          </w:p>
        </w:tc>
        <w:tc>
          <w:tcPr>
            <w:tcW w:w="3690" w:type="dxa"/>
            <w:tcBorders>
              <w:top w:val="single" w:sz="4" w:space="0" w:color="000080"/>
              <w:left w:val="single" w:sz="4" w:space="0" w:color="000080"/>
              <w:bottom w:val="single" w:sz="4" w:space="0" w:color="000080"/>
              <w:right w:val="nil"/>
            </w:tcBorders>
            <w:shd w:val="clear" w:color="auto" w:fill="FFFFFF"/>
            <w:vAlign w:val="center"/>
            <w:hideMark/>
          </w:tcPr>
          <w:p w:rsidR="00ED7F17" w:rsidRDefault="00ED7F17">
            <w:pPr>
              <w:rPr>
                <w:rFonts w:ascii="Arial" w:eastAsia="Arial" w:hAnsi="Arial" w:cs="Arial"/>
                <w:sz w:val="22"/>
                <w:szCs w:val="22"/>
              </w:rPr>
            </w:pPr>
            <w:r>
              <w:rPr>
                <w:color w:val="000000"/>
                <w:sz w:val="20"/>
                <w:szCs w:val="20"/>
              </w:rPr>
              <w:t xml:space="preserve">Смертность от острого нарушения мозгового кровообращения, на 100 тыс. населения </w:t>
            </w:r>
          </w:p>
        </w:tc>
        <w:tc>
          <w:tcPr>
            <w:tcW w:w="1024" w:type="dxa"/>
            <w:tcBorders>
              <w:top w:val="single" w:sz="4" w:space="0" w:color="000080"/>
              <w:left w:val="single" w:sz="4" w:space="0" w:color="000080"/>
              <w:bottom w:val="single" w:sz="4" w:space="0" w:color="000080"/>
              <w:right w:val="nil"/>
            </w:tcBorders>
            <w:shd w:val="clear" w:color="auto" w:fill="FFFFFF"/>
            <w:vAlign w:val="center"/>
            <w:hideMark/>
          </w:tcPr>
          <w:p w:rsidR="00ED7F17" w:rsidRDefault="00ED7F17">
            <w:pPr>
              <w:pStyle w:val="ConsPlusNormal"/>
              <w:jc w:val="center"/>
            </w:pPr>
            <w:r>
              <w:rPr>
                <w:rFonts w:ascii="Times New Roman" w:hAnsi="Times New Roman" w:cs="Times New Roman"/>
                <w:sz w:val="20"/>
                <w:highlight w:val="white"/>
              </w:rPr>
              <w:t>97,6</w:t>
            </w:r>
          </w:p>
        </w:tc>
        <w:tc>
          <w:tcPr>
            <w:tcW w:w="791" w:type="dxa"/>
            <w:tcBorders>
              <w:top w:val="single" w:sz="4" w:space="0" w:color="000080"/>
              <w:left w:val="single" w:sz="4" w:space="0" w:color="000080"/>
              <w:bottom w:val="single" w:sz="4" w:space="0" w:color="000080"/>
              <w:right w:val="nil"/>
            </w:tcBorders>
            <w:shd w:val="clear" w:color="auto" w:fill="FFFFFF"/>
            <w:vAlign w:val="center"/>
            <w:hideMark/>
          </w:tcPr>
          <w:p w:rsidR="00ED7F17" w:rsidRDefault="00ED7F17">
            <w:pPr>
              <w:pStyle w:val="ConsPlusNormal"/>
              <w:jc w:val="center"/>
            </w:pPr>
            <w:r>
              <w:rPr>
                <w:rFonts w:ascii="Times New Roman" w:hAnsi="Times New Roman" w:cs="Times New Roman"/>
                <w:sz w:val="20"/>
                <w:highlight w:val="white"/>
              </w:rPr>
              <w:t>90,5</w:t>
            </w:r>
          </w:p>
        </w:tc>
        <w:tc>
          <w:tcPr>
            <w:tcW w:w="735" w:type="dxa"/>
            <w:tcBorders>
              <w:top w:val="single" w:sz="4" w:space="0" w:color="000080"/>
              <w:left w:val="single" w:sz="4" w:space="0" w:color="000080"/>
              <w:bottom w:val="single" w:sz="4" w:space="0" w:color="000080"/>
              <w:right w:val="nil"/>
            </w:tcBorders>
            <w:shd w:val="clear" w:color="auto" w:fill="FFFFFF"/>
            <w:vAlign w:val="center"/>
            <w:hideMark/>
          </w:tcPr>
          <w:p w:rsidR="00ED7F17" w:rsidRDefault="00ED7F17">
            <w:pPr>
              <w:pStyle w:val="ConsPlusNormal"/>
              <w:jc w:val="center"/>
            </w:pPr>
            <w:r>
              <w:rPr>
                <w:rFonts w:ascii="Times New Roman" w:hAnsi="Times New Roman" w:cs="Times New Roman"/>
                <w:sz w:val="20"/>
                <w:highlight w:val="white"/>
              </w:rPr>
              <w:t>87,2</w:t>
            </w:r>
          </w:p>
        </w:tc>
        <w:tc>
          <w:tcPr>
            <w:tcW w:w="570" w:type="dxa"/>
            <w:tcBorders>
              <w:top w:val="single" w:sz="4" w:space="0" w:color="000080"/>
              <w:left w:val="single" w:sz="4" w:space="0" w:color="000080"/>
              <w:bottom w:val="single" w:sz="4" w:space="0" w:color="000080"/>
              <w:right w:val="nil"/>
            </w:tcBorders>
            <w:shd w:val="clear" w:color="auto" w:fill="FFFFFF"/>
            <w:vAlign w:val="center"/>
            <w:hideMark/>
          </w:tcPr>
          <w:p w:rsidR="00ED7F17" w:rsidRDefault="00ED7F17">
            <w:pPr>
              <w:pStyle w:val="ConsPlusNormal"/>
              <w:jc w:val="center"/>
            </w:pPr>
            <w:r>
              <w:rPr>
                <w:rFonts w:ascii="Times New Roman" w:hAnsi="Times New Roman" w:cs="Times New Roman"/>
                <w:sz w:val="20"/>
                <w:highlight w:val="white"/>
              </w:rPr>
              <w:t>83,9</w:t>
            </w:r>
          </w:p>
        </w:tc>
        <w:tc>
          <w:tcPr>
            <w:tcW w:w="734" w:type="dxa"/>
            <w:tcBorders>
              <w:top w:val="single" w:sz="4" w:space="0" w:color="000080"/>
              <w:left w:val="single" w:sz="4" w:space="0" w:color="000080"/>
              <w:bottom w:val="single" w:sz="4" w:space="0" w:color="000080"/>
              <w:right w:val="nil"/>
            </w:tcBorders>
            <w:shd w:val="clear" w:color="auto" w:fill="FFFFFF"/>
            <w:vAlign w:val="center"/>
            <w:hideMark/>
          </w:tcPr>
          <w:p w:rsidR="00ED7F17" w:rsidRDefault="00ED7F17">
            <w:pPr>
              <w:pStyle w:val="ConsPlusNormal"/>
              <w:jc w:val="center"/>
            </w:pPr>
            <w:r>
              <w:rPr>
                <w:rFonts w:ascii="Times New Roman" w:hAnsi="Times New Roman" w:cs="Times New Roman"/>
                <w:sz w:val="20"/>
                <w:highlight w:val="white"/>
              </w:rPr>
              <w:t>80,6</w:t>
            </w:r>
          </w:p>
        </w:tc>
        <w:tc>
          <w:tcPr>
            <w:tcW w:w="735" w:type="dxa"/>
            <w:tcBorders>
              <w:top w:val="single" w:sz="4" w:space="0" w:color="000080"/>
              <w:left w:val="single" w:sz="4" w:space="0" w:color="000080"/>
              <w:bottom w:val="single" w:sz="4" w:space="0" w:color="000080"/>
              <w:right w:val="nil"/>
            </w:tcBorders>
            <w:shd w:val="clear" w:color="auto" w:fill="FFFFFF"/>
            <w:vAlign w:val="center"/>
            <w:hideMark/>
          </w:tcPr>
          <w:p w:rsidR="00ED7F17" w:rsidRDefault="00ED7F17">
            <w:pPr>
              <w:pStyle w:val="ConsPlusNormal"/>
              <w:jc w:val="center"/>
            </w:pPr>
            <w:r>
              <w:rPr>
                <w:rFonts w:ascii="Times New Roman" w:hAnsi="Times New Roman" w:cs="Times New Roman"/>
                <w:sz w:val="20"/>
                <w:highlight w:val="white"/>
              </w:rPr>
              <w:t>77,3</w:t>
            </w:r>
          </w:p>
        </w:tc>
        <w:tc>
          <w:tcPr>
            <w:tcW w:w="914" w:type="dxa"/>
            <w:tcBorders>
              <w:top w:val="single" w:sz="4" w:space="0" w:color="000080"/>
              <w:left w:val="single" w:sz="4" w:space="0" w:color="000080"/>
              <w:bottom w:val="single" w:sz="4" w:space="0" w:color="000080"/>
              <w:right w:val="single" w:sz="4" w:space="0" w:color="000080"/>
            </w:tcBorders>
            <w:shd w:val="clear" w:color="auto" w:fill="FFFFFF"/>
            <w:vAlign w:val="center"/>
            <w:hideMark/>
          </w:tcPr>
          <w:p w:rsidR="00ED7F17" w:rsidRDefault="00ED7F17">
            <w:pPr>
              <w:pStyle w:val="ConsPlusNormal"/>
              <w:jc w:val="center"/>
            </w:pPr>
            <w:r>
              <w:rPr>
                <w:rFonts w:ascii="Times New Roman" w:hAnsi="Times New Roman" w:cs="Times New Roman"/>
                <w:sz w:val="20"/>
                <w:highlight w:val="white"/>
              </w:rPr>
              <w:t>74,8</w:t>
            </w:r>
          </w:p>
        </w:tc>
      </w:tr>
      <w:tr w:rsidR="00ED7F17" w:rsidTr="00ED7F17">
        <w:trPr>
          <w:cantSplit/>
          <w:trHeight w:val="381"/>
        </w:trPr>
        <w:tc>
          <w:tcPr>
            <w:tcW w:w="390" w:type="dxa"/>
            <w:tcBorders>
              <w:top w:val="single" w:sz="4" w:space="0" w:color="000080"/>
              <w:left w:val="single" w:sz="4" w:space="0" w:color="000080"/>
              <w:bottom w:val="single" w:sz="4" w:space="0" w:color="000080"/>
              <w:right w:val="nil"/>
            </w:tcBorders>
            <w:shd w:val="clear" w:color="auto" w:fill="FFFFFF"/>
            <w:hideMark/>
          </w:tcPr>
          <w:p w:rsidR="00ED7F17" w:rsidRDefault="00ED7F17">
            <w:pPr>
              <w:spacing w:after="200" w:line="240" w:lineRule="atLeast"/>
              <w:jc w:val="center"/>
              <w:rPr>
                <w:rFonts w:ascii="Arial" w:eastAsia="Arial" w:hAnsi="Arial" w:cs="Arial"/>
                <w:sz w:val="22"/>
                <w:szCs w:val="22"/>
              </w:rPr>
            </w:pPr>
            <w:r>
              <w:rPr>
                <w:sz w:val="20"/>
                <w:szCs w:val="20"/>
              </w:rPr>
              <w:t>3.</w:t>
            </w:r>
          </w:p>
        </w:tc>
        <w:tc>
          <w:tcPr>
            <w:tcW w:w="3690" w:type="dxa"/>
            <w:tcBorders>
              <w:top w:val="single" w:sz="4" w:space="0" w:color="000080"/>
              <w:left w:val="single" w:sz="4" w:space="0" w:color="000080"/>
              <w:bottom w:val="single" w:sz="4" w:space="0" w:color="000080"/>
              <w:right w:val="nil"/>
            </w:tcBorders>
            <w:shd w:val="clear" w:color="auto" w:fill="FFFFFF"/>
            <w:vAlign w:val="center"/>
            <w:hideMark/>
          </w:tcPr>
          <w:p w:rsidR="00ED7F17" w:rsidRDefault="00ED7F17">
            <w:pPr>
              <w:rPr>
                <w:rFonts w:ascii="Arial" w:eastAsia="Arial" w:hAnsi="Arial" w:cs="Arial"/>
                <w:sz w:val="22"/>
                <w:szCs w:val="22"/>
              </w:rPr>
            </w:pPr>
            <w:r>
              <w:rPr>
                <w:color w:val="000000"/>
                <w:sz w:val="20"/>
                <w:szCs w:val="20"/>
              </w:rPr>
              <w:t xml:space="preserve">Больничная летальность </w:t>
            </w:r>
            <w:r>
              <w:rPr>
                <w:color w:val="000000"/>
                <w:sz w:val="20"/>
                <w:szCs w:val="20"/>
              </w:rPr>
              <w:br/>
              <w:t>от инфаркта миокарда, %</w:t>
            </w:r>
          </w:p>
        </w:tc>
        <w:tc>
          <w:tcPr>
            <w:tcW w:w="1024" w:type="dxa"/>
            <w:tcBorders>
              <w:top w:val="single" w:sz="4" w:space="0" w:color="000080"/>
              <w:left w:val="single" w:sz="4" w:space="0" w:color="000080"/>
              <w:bottom w:val="single" w:sz="4" w:space="0" w:color="000080"/>
              <w:right w:val="nil"/>
            </w:tcBorders>
            <w:shd w:val="clear" w:color="auto" w:fill="FFFFFF"/>
            <w:vAlign w:val="center"/>
            <w:hideMark/>
          </w:tcPr>
          <w:p w:rsidR="00ED7F17" w:rsidRDefault="00ED7F17">
            <w:pPr>
              <w:pStyle w:val="ConsPlusNormal"/>
              <w:jc w:val="center"/>
            </w:pPr>
            <w:r>
              <w:rPr>
                <w:rFonts w:ascii="Times New Roman" w:hAnsi="Times New Roman" w:cs="Times New Roman"/>
                <w:sz w:val="20"/>
                <w:highlight w:val="white"/>
              </w:rPr>
              <w:t>21,6</w:t>
            </w:r>
          </w:p>
        </w:tc>
        <w:tc>
          <w:tcPr>
            <w:tcW w:w="791" w:type="dxa"/>
            <w:tcBorders>
              <w:top w:val="single" w:sz="4" w:space="0" w:color="000080"/>
              <w:left w:val="single" w:sz="4" w:space="0" w:color="000080"/>
              <w:bottom w:val="single" w:sz="4" w:space="0" w:color="000080"/>
              <w:right w:val="nil"/>
            </w:tcBorders>
            <w:shd w:val="clear" w:color="auto" w:fill="FFFFFF"/>
            <w:vAlign w:val="center"/>
            <w:hideMark/>
          </w:tcPr>
          <w:p w:rsidR="00ED7F17" w:rsidRDefault="00ED7F17">
            <w:pPr>
              <w:pStyle w:val="ConsPlusNormal"/>
              <w:jc w:val="center"/>
            </w:pPr>
            <w:r>
              <w:rPr>
                <w:rFonts w:ascii="Times New Roman" w:hAnsi="Times New Roman" w:cs="Times New Roman"/>
                <w:sz w:val="20"/>
                <w:highlight w:val="white"/>
              </w:rPr>
              <w:t>18,3</w:t>
            </w:r>
          </w:p>
        </w:tc>
        <w:tc>
          <w:tcPr>
            <w:tcW w:w="735" w:type="dxa"/>
            <w:tcBorders>
              <w:top w:val="single" w:sz="4" w:space="0" w:color="000080"/>
              <w:left w:val="single" w:sz="4" w:space="0" w:color="000080"/>
              <w:bottom w:val="single" w:sz="4" w:space="0" w:color="000080"/>
              <w:right w:val="nil"/>
            </w:tcBorders>
            <w:shd w:val="clear" w:color="auto" w:fill="FFFFFF"/>
            <w:vAlign w:val="center"/>
            <w:hideMark/>
          </w:tcPr>
          <w:p w:rsidR="00ED7F17" w:rsidRDefault="00ED7F17">
            <w:pPr>
              <w:pStyle w:val="ConsPlusNormal"/>
              <w:jc w:val="center"/>
            </w:pPr>
            <w:r>
              <w:rPr>
                <w:rFonts w:ascii="Times New Roman" w:hAnsi="Times New Roman" w:cs="Times New Roman"/>
                <w:sz w:val="20"/>
                <w:highlight w:val="white"/>
              </w:rPr>
              <w:t>17,0</w:t>
            </w:r>
          </w:p>
        </w:tc>
        <w:tc>
          <w:tcPr>
            <w:tcW w:w="570" w:type="dxa"/>
            <w:tcBorders>
              <w:top w:val="single" w:sz="4" w:space="0" w:color="000080"/>
              <w:left w:val="single" w:sz="4" w:space="0" w:color="000080"/>
              <w:bottom w:val="single" w:sz="4" w:space="0" w:color="000080"/>
              <w:right w:val="nil"/>
            </w:tcBorders>
            <w:shd w:val="clear" w:color="auto" w:fill="FFFFFF"/>
            <w:vAlign w:val="center"/>
            <w:hideMark/>
          </w:tcPr>
          <w:p w:rsidR="00ED7F17" w:rsidRDefault="00ED7F17">
            <w:pPr>
              <w:pStyle w:val="ConsPlusNormal"/>
              <w:jc w:val="center"/>
            </w:pPr>
            <w:r>
              <w:rPr>
                <w:rFonts w:ascii="Times New Roman" w:hAnsi="Times New Roman" w:cs="Times New Roman"/>
                <w:sz w:val="20"/>
                <w:highlight w:val="white"/>
              </w:rPr>
              <w:t>15,5</w:t>
            </w:r>
          </w:p>
        </w:tc>
        <w:tc>
          <w:tcPr>
            <w:tcW w:w="734" w:type="dxa"/>
            <w:tcBorders>
              <w:top w:val="single" w:sz="4" w:space="0" w:color="000080"/>
              <w:left w:val="single" w:sz="4" w:space="0" w:color="000080"/>
              <w:bottom w:val="single" w:sz="4" w:space="0" w:color="000080"/>
              <w:right w:val="nil"/>
            </w:tcBorders>
            <w:shd w:val="clear" w:color="auto" w:fill="FFFFFF"/>
            <w:vAlign w:val="center"/>
            <w:hideMark/>
          </w:tcPr>
          <w:p w:rsidR="00ED7F17" w:rsidRDefault="00ED7F17">
            <w:pPr>
              <w:pStyle w:val="ConsPlusNormal"/>
              <w:jc w:val="center"/>
            </w:pPr>
            <w:r>
              <w:rPr>
                <w:rFonts w:ascii="Times New Roman" w:hAnsi="Times New Roman" w:cs="Times New Roman"/>
                <w:sz w:val="20"/>
                <w:highlight w:val="white"/>
              </w:rPr>
              <w:t>13,6</w:t>
            </w:r>
          </w:p>
        </w:tc>
        <w:tc>
          <w:tcPr>
            <w:tcW w:w="735" w:type="dxa"/>
            <w:tcBorders>
              <w:top w:val="single" w:sz="4" w:space="0" w:color="000080"/>
              <w:left w:val="single" w:sz="4" w:space="0" w:color="000080"/>
              <w:bottom w:val="single" w:sz="4" w:space="0" w:color="000080"/>
              <w:right w:val="nil"/>
            </w:tcBorders>
            <w:shd w:val="clear" w:color="auto" w:fill="FFFFFF"/>
            <w:vAlign w:val="center"/>
            <w:hideMark/>
          </w:tcPr>
          <w:p w:rsidR="00ED7F17" w:rsidRDefault="00ED7F17">
            <w:pPr>
              <w:pStyle w:val="ConsPlusNormal"/>
              <w:jc w:val="center"/>
            </w:pPr>
            <w:r>
              <w:rPr>
                <w:rFonts w:ascii="Times New Roman" w:hAnsi="Times New Roman" w:cs="Times New Roman"/>
                <w:sz w:val="20"/>
                <w:highlight w:val="white"/>
              </w:rPr>
              <w:t>11,6</w:t>
            </w:r>
          </w:p>
        </w:tc>
        <w:tc>
          <w:tcPr>
            <w:tcW w:w="914" w:type="dxa"/>
            <w:tcBorders>
              <w:top w:val="single" w:sz="4" w:space="0" w:color="000080"/>
              <w:left w:val="single" w:sz="4" w:space="0" w:color="000080"/>
              <w:bottom w:val="single" w:sz="4" w:space="0" w:color="000080"/>
              <w:right w:val="single" w:sz="4" w:space="0" w:color="000080"/>
            </w:tcBorders>
            <w:shd w:val="clear" w:color="auto" w:fill="FFFFFF"/>
            <w:vAlign w:val="center"/>
            <w:hideMark/>
          </w:tcPr>
          <w:p w:rsidR="00ED7F17" w:rsidRDefault="00ED7F17">
            <w:pPr>
              <w:pStyle w:val="ConsPlusNormal"/>
              <w:jc w:val="center"/>
            </w:pPr>
            <w:r>
              <w:rPr>
                <w:rFonts w:ascii="Times New Roman" w:hAnsi="Times New Roman" w:cs="Times New Roman"/>
                <w:sz w:val="20"/>
                <w:highlight w:val="white"/>
              </w:rPr>
              <w:t>9,0</w:t>
            </w:r>
          </w:p>
        </w:tc>
      </w:tr>
      <w:tr w:rsidR="00ED7F17" w:rsidTr="00ED7F17">
        <w:trPr>
          <w:cantSplit/>
        </w:trPr>
        <w:tc>
          <w:tcPr>
            <w:tcW w:w="390" w:type="dxa"/>
            <w:tcBorders>
              <w:top w:val="single" w:sz="4" w:space="0" w:color="000080"/>
              <w:left w:val="single" w:sz="4" w:space="0" w:color="000080"/>
              <w:bottom w:val="single" w:sz="4" w:space="0" w:color="000080"/>
              <w:right w:val="nil"/>
            </w:tcBorders>
            <w:shd w:val="clear" w:color="auto" w:fill="FFFFFF"/>
            <w:hideMark/>
          </w:tcPr>
          <w:p w:rsidR="00ED7F17" w:rsidRDefault="00ED7F17">
            <w:pPr>
              <w:spacing w:after="200" w:line="240" w:lineRule="atLeast"/>
              <w:jc w:val="center"/>
              <w:rPr>
                <w:rFonts w:ascii="Arial" w:eastAsia="Arial" w:hAnsi="Arial" w:cs="Arial"/>
                <w:sz w:val="22"/>
                <w:szCs w:val="22"/>
              </w:rPr>
            </w:pPr>
            <w:r>
              <w:rPr>
                <w:sz w:val="20"/>
                <w:szCs w:val="20"/>
              </w:rPr>
              <w:t>4.</w:t>
            </w:r>
          </w:p>
        </w:tc>
        <w:tc>
          <w:tcPr>
            <w:tcW w:w="3690" w:type="dxa"/>
            <w:tcBorders>
              <w:top w:val="single" w:sz="4" w:space="0" w:color="000080"/>
              <w:left w:val="single" w:sz="4" w:space="0" w:color="000080"/>
              <w:bottom w:val="single" w:sz="4" w:space="0" w:color="000080"/>
              <w:right w:val="nil"/>
            </w:tcBorders>
            <w:shd w:val="clear" w:color="auto" w:fill="FFFFFF"/>
            <w:vAlign w:val="center"/>
            <w:hideMark/>
          </w:tcPr>
          <w:p w:rsidR="00ED7F17" w:rsidRDefault="00ED7F17">
            <w:pPr>
              <w:rPr>
                <w:rFonts w:ascii="Arial" w:eastAsia="Arial" w:hAnsi="Arial" w:cs="Arial"/>
                <w:sz w:val="22"/>
                <w:szCs w:val="22"/>
              </w:rPr>
            </w:pPr>
            <w:r>
              <w:rPr>
                <w:color w:val="000000"/>
                <w:sz w:val="20"/>
                <w:szCs w:val="20"/>
              </w:rPr>
              <w:t xml:space="preserve">Больничная летальность </w:t>
            </w:r>
            <w:r>
              <w:rPr>
                <w:color w:val="000000"/>
                <w:sz w:val="20"/>
                <w:szCs w:val="20"/>
              </w:rPr>
              <w:br/>
              <w:t>от острого нарушения мозгового кровообращения, %</w:t>
            </w:r>
          </w:p>
        </w:tc>
        <w:tc>
          <w:tcPr>
            <w:tcW w:w="1024" w:type="dxa"/>
            <w:tcBorders>
              <w:top w:val="single" w:sz="4" w:space="0" w:color="000080"/>
              <w:left w:val="single" w:sz="4" w:space="0" w:color="000080"/>
              <w:bottom w:val="single" w:sz="4" w:space="0" w:color="000080"/>
              <w:right w:val="nil"/>
            </w:tcBorders>
            <w:shd w:val="clear" w:color="auto" w:fill="FFFFFF"/>
            <w:vAlign w:val="center"/>
            <w:hideMark/>
          </w:tcPr>
          <w:p w:rsidR="00ED7F17" w:rsidRDefault="00ED7F17">
            <w:pPr>
              <w:pStyle w:val="ConsPlusNormal"/>
              <w:jc w:val="center"/>
            </w:pPr>
            <w:r>
              <w:rPr>
                <w:rFonts w:ascii="Times New Roman" w:hAnsi="Times New Roman" w:cs="Times New Roman"/>
                <w:sz w:val="20"/>
                <w:highlight w:val="white"/>
              </w:rPr>
              <w:t>20,3</w:t>
            </w:r>
          </w:p>
        </w:tc>
        <w:tc>
          <w:tcPr>
            <w:tcW w:w="791" w:type="dxa"/>
            <w:tcBorders>
              <w:top w:val="single" w:sz="4" w:space="0" w:color="000080"/>
              <w:left w:val="single" w:sz="4" w:space="0" w:color="000080"/>
              <w:bottom w:val="single" w:sz="4" w:space="0" w:color="000080"/>
              <w:right w:val="nil"/>
            </w:tcBorders>
            <w:shd w:val="clear" w:color="auto" w:fill="FFFFFF"/>
            <w:vAlign w:val="center"/>
            <w:hideMark/>
          </w:tcPr>
          <w:p w:rsidR="00ED7F17" w:rsidRDefault="00ED7F17">
            <w:pPr>
              <w:pStyle w:val="ConsPlusNormal"/>
              <w:jc w:val="center"/>
            </w:pPr>
            <w:r>
              <w:rPr>
                <w:rFonts w:ascii="Times New Roman" w:hAnsi="Times New Roman" w:cs="Times New Roman"/>
                <w:sz w:val="20"/>
                <w:highlight w:val="white"/>
              </w:rPr>
              <w:t>18,5</w:t>
            </w:r>
          </w:p>
        </w:tc>
        <w:tc>
          <w:tcPr>
            <w:tcW w:w="735" w:type="dxa"/>
            <w:tcBorders>
              <w:top w:val="single" w:sz="4" w:space="0" w:color="000080"/>
              <w:left w:val="single" w:sz="4" w:space="0" w:color="000080"/>
              <w:bottom w:val="single" w:sz="4" w:space="0" w:color="000080"/>
              <w:right w:val="nil"/>
            </w:tcBorders>
            <w:shd w:val="clear" w:color="auto" w:fill="FFFFFF"/>
            <w:vAlign w:val="center"/>
            <w:hideMark/>
          </w:tcPr>
          <w:p w:rsidR="00ED7F17" w:rsidRDefault="00ED7F17">
            <w:pPr>
              <w:pStyle w:val="ConsPlusNormal"/>
              <w:jc w:val="center"/>
            </w:pPr>
            <w:r>
              <w:rPr>
                <w:rFonts w:ascii="Times New Roman" w:hAnsi="Times New Roman" w:cs="Times New Roman"/>
                <w:sz w:val="20"/>
                <w:highlight w:val="white"/>
              </w:rPr>
              <w:t>17,7</w:t>
            </w:r>
          </w:p>
        </w:tc>
        <w:tc>
          <w:tcPr>
            <w:tcW w:w="570" w:type="dxa"/>
            <w:tcBorders>
              <w:top w:val="single" w:sz="4" w:space="0" w:color="000080"/>
              <w:left w:val="single" w:sz="4" w:space="0" w:color="000080"/>
              <w:bottom w:val="single" w:sz="4" w:space="0" w:color="000080"/>
              <w:right w:val="nil"/>
            </w:tcBorders>
            <w:shd w:val="clear" w:color="auto" w:fill="FFFFFF"/>
            <w:vAlign w:val="center"/>
            <w:hideMark/>
          </w:tcPr>
          <w:p w:rsidR="00ED7F17" w:rsidRDefault="00ED7F17">
            <w:pPr>
              <w:pStyle w:val="ConsPlusNormal"/>
              <w:jc w:val="center"/>
            </w:pPr>
            <w:r>
              <w:rPr>
                <w:rFonts w:ascii="Times New Roman" w:hAnsi="Times New Roman" w:cs="Times New Roman"/>
                <w:sz w:val="20"/>
                <w:highlight w:val="white"/>
              </w:rPr>
              <w:t>16,5</w:t>
            </w:r>
          </w:p>
        </w:tc>
        <w:tc>
          <w:tcPr>
            <w:tcW w:w="734" w:type="dxa"/>
            <w:tcBorders>
              <w:top w:val="single" w:sz="4" w:space="0" w:color="000080"/>
              <w:left w:val="single" w:sz="4" w:space="0" w:color="000080"/>
              <w:bottom w:val="single" w:sz="4" w:space="0" w:color="000080"/>
              <w:right w:val="nil"/>
            </w:tcBorders>
            <w:shd w:val="clear" w:color="auto" w:fill="FFFFFF"/>
            <w:vAlign w:val="center"/>
            <w:hideMark/>
          </w:tcPr>
          <w:p w:rsidR="00ED7F17" w:rsidRDefault="00ED7F17">
            <w:pPr>
              <w:pStyle w:val="ConsPlusNormal"/>
              <w:jc w:val="center"/>
            </w:pPr>
            <w:r>
              <w:rPr>
                <w:rFonts w:ascii="Times New Roman" w:hAnsi="Times New Roman" w:cs="Times New Roman"/>
                <w:sz w:val="20"/>
                <w:highlight w:val="white"/>
              </w:rPr>
              <w:t>15,6</w:t>
            </w:r>
          </w:p>
        </w:tc>
        <w:tc>
          <w:tcPr>
            <w:tcW w:w="735" w:type="dxa"/>
            <w:tcBorders>
              <w:top w:val="single" w:sz="4" w:space="0" w:color="000080"/>
              <w:left w:val="single" w:sz="4" w:space="0" w:color="000080"/>
              <w:bottom w:val="single" w:sz="4" w:space="0" w:color="000080"/>
              <w:right w:val="nil"/>
            </w:tcBorders>
            <w:shd w:val="clear" w:color="auto" w:fill="FFFFFF"/>
            <w:vAlign w:val="center"/>
            <w:hideMark/>
          </w:tcPr>
          <w:p w:rsidR="00ED7F17" w:rsidRDefault="00ED7F17">
            <w:pPr>
              <w:pStyle w:val="ConsPlusNormal"/>
              <w:jc w:val="center"/>
            </w:pPr>
            <w:r>
              <w:rPr>
                <w:rFonts w:ascii="Times New Roman" w:hAnsi="Times New Roman" w:cs="Times New Roman"/>
                <w:sz w:val="20"/>
                <w:highlight w:val="white"/>
              </w:rPr>
              <w:t>14,7</w:t>
            </w:r>
          </w:p>
        </w:tc>
        <w:tc>
          <w:tcPr>
            <w:tcW w:w="914" w:type="dxa"/>
            <w:tcBorders>
              <w:top w:val="single" w:sz="4" w:space="0" w:color="000080"/>
              <w:left w:val="single" w:sz="4" w:space="0" w:color="000080"/>
              <w:bottom w:val="single" w:sz="4" w:space="0" w:color="000080"/>
              <w:right w:val="single" w:sz="4" w:space="0" w:color="000080"/>
            </w:tcBorders>
            <w:shd w:val="clear" w:color="auto" w:fill="FFFFFF"/>
            <w:vAlign w:val="center"/>
            <w:hideMark/>
          </w:tcPr>
          <w:p w:rsidR="00ED7F17" w:rsidRDefault="00ED7F17">
            <w:pPr>
              <w:pStyle w:val="ConsPlusNormal"/>
              <w:jc w:val="center"/>
            </w:pPr>
            <w:r>
              <w:rPr>
                <w:rFonts w:ascii="Times New Roman" w:hAnsi="Times New Roman" w:cs="Times New Roman"/>
                <w:sz w:val="20"/>
                <w:highlight w:val="white"/>
              </w:rPr>
              <w:t>14,0</w:t>
            </w:r>
          </w:p>
        </w:tc>
      </w:tr>
      <w:tr w:rsidR="00ED7F17" w:rsidTr="00ED7F17">
        <w:trPr>
          <w:cantSplit/>
        </w:trPr>
        <w:tc>
          <w:tcPr>
            <w:tcW w:w="390" w:type="dxa"/>
            <w:tcBorders>
              <w:top w:val="single" w:sz="4" w:space="0" w:color="000080"/>
              <w:left w:val="single" w:sz="4" w:space="0" w:color="000080"/>
              <w:bottom w:val="single" w:sz="4" w:space="0" w:color="000080"/>
              <w:right w:val="nil"/>
            </w:tcBorders>
            <w:shd w:val="clear" w:color="auto" w:fill="FFFFFF"/>
            <w:hideMark/>
          </w:tcPr>
          <w:p w:rsidR="00ED7F17" w:rsidRDefault="00ED7F17">
            <w:pPr>
              <w:spacing w:after="200" w:line="240" w:lineRule="atLeast"/>
              <w:jc w:val="center"/>
              <w:rPr>
                <w:rFonts w:ascii="Arial" w:eastAsia="Arial" w:hAnsi="Arial" w:cs="Arial"/>
                <w:sz w:val="22"/>
                <w:szCs w:val="22"/>
              </w:rPr>
            </w:pPr>
            <w:r>
              <w:rPr>
                <w:sz w:val="20"/>
                <w:szCs w:val="20"/>
              </w:rPr>
              <w:t>5.</w:t>
            </w:r>
          </w:p>
        </w:tc>
        <w:tc>
          <w:tcPr>
            <w:tcW w:w="3690" w:type="dxa"/>
            <w:tcBorders>
              <w:top w:val="single" w:sz="4" w:space="0" w:color="000080"/>
              <w:left w:val="single" w:sz="4" w:space="0" w:color="000080"/>
              <w:bottom w:val="single" w:sz="4" w:space="0" w:color="000080"/>
              <w:right w:val="nil"/>
            </w:tcBorders>
            <w:shd w:val="clear" w:color="auto" w:fill="FFFFFF"/>
            <w:vAlign w:val="center"/>
            <w:hideMark/>
          </w:tcPr>
          <w:p w:rsidR="00ED7F17" w:rsidRDefault="00ED7F17">
            <w:pPr>
              <w:rPr>
                <w:rFonts w:ascii="Arial" w:eastAsia="Arial" w:hAnsi="Arial" w:cs="Arial"/>
                <w:sz w:val="22"/>
                <w:szCs w:val="22"/>
              </w:rPr>
            </w:pPr>
            <w:r>
              <w:rPr>
                <w:color w:val="000000"/>
                <w:sz w:val="20"/>
                <w:szCs w:val="20"/>
              </w:rPr>
              <w:t>Отношение числа рентген-эндоваскулярных вмешательств в лечебных целях, к общему числу выбывших больных, перенесших острый коронарный синдром, %</w:t>
            </w:r>
          </w:p>
        </w:tc>
        <w:tc>
          <w:tcPr>
            <w:tcW w:w="1024" w:type="dxa"/>
            <w:tcBorders>
              <w:top w:val="single" w:sz="4" w:space="0" w:color="000080"/>
              <w:left w:val="single" w:sz="4" w:space="0" w:color="000080"/>
              <w:bottom w:val="single" w:sz="4" w:space="0" w:color="000080"/>
              <w:right w:val="nil"/>
            </w:tcBorders>
            <w:shd w:val="clear" w:color="auto" w:fill="FFFFFF"/>
            <w:vAlign w:val="center"/>
            <w:hideMark/>
          </w:tcPr>
          <w:p w:rsidR="00ED7F17" w:rsidRDefault="00ED7F17">
            <w:pPr>
              <w:pStyle w:val="ConsPlusNormal"/>
              <w:jc w:val="center"/>
            </w:pPr>
            <w:r>
              <w:rPr>
                <w:rFonts w:ascii="Times New Roman" w:hAnsi="Times New Roman" w:cs="Times New Roman"/>
                <w:sz w:val="20"/>
                <w:highlight w:val="white"/>
              </w:rPr>
              <w:t>64,8</w:t>
            </w:r>
          </w:p>
        </w:tc>
        <w:tc>
          <w:tcPr>
            <w:tcW w:w="791" w:type="dxa"/>
            <w:tcBorders>
              <w:top w:val="single" w:sz="4" w:space="0" w:color="000080"/>
              <w:left w:val="single" w:sz="4" w:space="0" w:color="000080"/>
              <w:bottom w:val="single" w:sz="4" w:space="0" w:color="000080"/>
              <w:right w:val="nil"/>
            </w:tcBorders>
            <w:shd w:val="clear" w:color="auto" w:fill="FFFFFF"/>
            <w:vAlign w:val="center"/>
            <w:hideMark/>
          </w:tcPr>
          <w:p w:rsidR="00ED7F17" w:rsidRDefault="00ED7F17">
            <w:pPr>
              <w:pStyle w:val="ConsPlusNormal"/>
              <w:jc w:val="center"/>
            </w:pPr>
            <w:r>
              <w:rPr>
                <w:rFonts w:ascii="Times New Roman" w:hAnsi="Times New Roman" w:cs="Times New Roman"/>
                <w:sz w:val="20"/>
                <w:highlight w:val="white"/>
              </w:rPr>
              <w:t>67,0</w:t>
            </w:r>
          </w:p>
        </w:tc>
        <w:tc>
          <w:tcPr>
            <w:tcW w:w="735" w:type="dxa"/>
            <w:tcBorders>
              <w:top w:val="single" w:sz="4" w:space="0" w:color="000080"/>
              <w:left w:val="single" w:sz="4" w:space="0" w:color="000080"/>
              <w:bottom w:val="single" w:sz="4" w:space="0" w:color="000080"/>
              <w:right w:val="nil"/>
            </w:tcBorders>
            <w:shd w:val="clear" w:color="auto" w:fill="FFFFFF"/>
            <w:vAlign w:val="center"/>
            <w:hideMark/>
          </w:tcPr>
          <w:p w:rsidR="00ED7F17" w:rsidRDefault="00ED7F17">
            <w:pPr>
              <w:pStyle w:val="ConsPlusNormal"/>
              <w:jc w:val="center"/>
            </w:pPr>
            <w:r>
              <w:rPr>
                <w:rFonts w:ascii="Times New Roman" w:hAnsi="Times New Roman" w:cs="Times New Roman"/>
                <w:sz w:val="20"/>
                <w:highlight w:val="white"/>
              </w:rPr>
              <w:t>68,0</w:t>
            </w:r>
          </w:p>
        </w:tc>
        <w:tc>
          <w:tcPr>
            <w:tcW w:w="570" w:type="dxa"/>
            <w:tcBorders>
              <w:top w:val="single" w:sz="4" w:space="0" w:color="000080"/>
              <w:left w:val="single" w:sz="4" w:space="0" w:color="000080"/>
              <w:bottom w:val="single" w:sz="4" w:space="0" w:color="000080"/>
              <w:right w:val="nil"/>
            </w:tcBorders>
            <w:shd w:val="clear" w:color="auto" w:fill="FFFFFF"/>
            <w:vAlign w:val="center"/>
            <w:hideMark/>
          </w:tcPr>
          <w:p w:rsidR="00ED7F17" w:rsidRDefault="00ED7F17">
            <w:pPr>
              <w:pStyle w:val="ConsPlusNormal"/>
              <w:jc w:val="center"/>
            </w:pPr>
            <w:r>
              <w:rPr>
                <w:rFonts w:ascii="Times New Roman" w:hAnsi="Times New Roman" w:cs="Times New Roman"/>
                <w:sz w:val="20"/>
                <w:highlight w:val="white"/>
              </w:rPr>
              <w:t>69,0</w:t>
            </w:r>
          </w:p>
        </w:tc>
        <w:tc>
          <w:tcPr>
            <w:tcW w:w="734" w:type="dxa"/>
            <w:tcBorders>
              <w:top w:val="single" w:sz="4" w:space="0" w:color="000080"/>
              <w:left w:val="single" w:sz="4" w:space="0" w:color="000080"/>
              <w:bottom w:val="single" w:sz="4" w:space="0" w:color="000080"/>
              <w:right w:val="nil"/>
            </w:tcBorders>
            <w:shd w:val="clear" w:color="auto" w:fill="FFFFFF"/>
            <w:vAlign w:val="center"/>
            <w:hideMark/>
          </w:tcPr>
          <w:p w:rsidR="00ED7F17" w:rsidRDefault="00ED7F17">
            <w:pPr>
              <w:pStyle w:val="ConsPlusNormal"/>
              <w:jc w:val="center"/>
            </w:pPr>
            <w:r>
              <w:rPr>
                <w:rFonts w:ascii="Times New Roman" w:hAnsi="Times New Roman" w:cs="Times New Roman"/>
                <w:sz w:val="20"/>
                <w:highlight w:val="white"/>
              </w:rPr>
              <w:t>70,0</w:t>
            </w:r>
          </w:p>
        </w:tc>
        <w:tc>
          <w:tcPr>
            <w:tcW w:w="735" w:type="dxa"/>
            <w:tcBorders>
              <w:top w:val="single" w:sz="4" w:space="0" w:color="000080"/>
              <w:left w:val="single" w:sz="4" w:space="0" w:color="000080"/>
              <w:bottom w:val="single" w:sz="4" w:space="0" w:color="000080"/>
              <w:right w:val="nil"/>
            </w:tcBorders>
            <w:shd w:val="clear" w:color="auto" w:fill="FFFFFF"/>
            <w:vAlign w:val="center"/>
            <w:hideMark/>
          </w:tcPr>
          <w:p w:rsidR="00ED7F17" w:rsidRDefault="00ED7F17">
            <w:pPr>
              <w:pStyle w:val="ConsPlusNormal"/>
              <w:jc w:val="center"/>
            </w:pPr>
            <w:r>
              <w:rPr>
                <w:rFonts w:ascii="Times New Roman" w:hAnsi="Times New Roman" w:cs="Times New Roman"/>
                <w:sz w:val="20"/>
                <w:highlight w:val="white"/>
              </w:rPr>
              <w:t>71,0</w:t>
            </w:r>
          </w:p>
        </w:tc>
        <w:tc>
          <w:tcPr>
            <w:tcW w:w="914" w:type="dxa"/>
            <w:tcBorders>
              <w:top w:val="single" w:sz="4" w:space="0" w:color="000080"/>
              <w:left w:val="single" w:sz="4" w:space="0" w:color="000080"/>
              <w:bottom w:val="single" w:sz="4" w:space="0" w:color="000080"/>
              <w:right w:val="single" w:sz="4" w:space="0" w:color="000080"/>
            </w:tcBorders>
            <w:shd w:val="clear" w:color="auto" w:fill="FFFFFF"/>
            <w:vAlign w:val="center"/>
            <w:hideMark/>
          </w:tcPr>
          <w:p w:rsidR="00ED7F17" w:rsidRDefault="00ED7F17">
            <w:pPr>
              <w:pStyle w:val="ConsPlusNormal"/>
              <w:jc w:val="center"/>
            </w:pPr>
            <w:r>
              <w:rPr>
                <w:rFonts w:ascii="Times New Roman" w:hAnsi="Times New Roman" w:cs="Times New Roman"/>
                <w:sz w:val="20"/>
                <w:highlight w:val="white"/>
              </w:rPr>
              <w:t>72,0</w:t>
            </w:r>
          </w:p>
        </w:tc>
      </w:tr>
      <w:tr w:rsidR="00ED7F17" w:rsidTr="00ED7F17">
        <w:trPr>
          <w:cantSplit/>
        </w:trPr>
        <w:tc>
          <w:tcPr>
            <w:tcW w:w="390" w:type="dxa"/>
            <w:tcBorders>
              <w:top w:val="single" w:sz="4" w:space="0" w:color="000080"/>
              <w:left w:val="single" w:sz="4" w:space="0" w:color="000080"/>
              <w:bottom w:val="single" w:sz="4" w:space="0" w:color="000080"/>
              <w:right w:val="nil"/>
            </w:tcBorders>
            <w:shd w:val="clear" w:color="auto" w:fill="FFFFFF"/>
            <w:hideMark/>
          </w:tcPr>
          <w:p w:rsidR="00ED7F17" w:rsidRDefault="00ED7F17">
            <w:pPr>
              <w:spacing w:after="200" w:line="240" w:lineRule="atLeast"/>
              <w:jc w:val="center"/>
              <w:rPr>
                <w:rFonts w:ascii="Arial" w:eastAsia="Arial" w:hAnsi="Arial" w:cs="Arial"/>
                <w:sz w:val="22"/>
                <w:szCs w:val="22"/>
              </w:rPr>
            </w:pPr>
            <w:r>
              <w:rPr>
                <w:sz w:val="20"/>
                <w:szCs w:val="20"/>
              </w:rPr>
              <w:t>6.</w:t>
            </w:r>
          </w:p>
        </w:tc>
        <w:tc>
          <w:tcPr>
            <w:tcW w:w="3690" w:type="dxa"/>
            <w:tcBorders>
              <w:top w:val="single" w:sz="4" w:space="0" w:color="000080"/>
              <w:left w:val="single" w:sz="4" w:space="0" w:color="000080"/>
              <w:bottom w:val="single" w:sz="4" w:space="0" w:color="000080"/>
              <w:right w:val="nil"/>
            </w:tcBorders>
            <w:shd w:val="clear" w:color="auto" w:fill="FFFFFF"/>
            <w:vAlign w:val="center"/>
            <w:hideMark/>
          </w:tcPr>
          <w:p w:rsidR="00ED7F17" w:rsidRDefault="00ED7F17">
            <w:pPr>
              <w:rPr>
                <w:rFonts w:ascii="Arial" w:eastAsia="Arial" w:hAnsi="Arial" w:cs="Arial"/>
                <w:sz w:val="22"/>
                <w:szCs w:val="22"/>
              </w:rPr>
            </w:pPr>
            <w:r>
              <w:rPr>
                <w:color w:val="000000"/>
                <w:sz w:val="20"/>
                <w:szCs w:val="20"/>
              </w:rPr>
              <w:t>Количество рентгенэндоваскулярных вмешательств в лечебных целях,  ед.</w:t>
            </w:r>
          </w:p>
        </w:tc>
        <w:tc>
          <w:tcPr>
            <w:tcW w:w="1024" w:type="dxa"/>
            <w:tcBorders>
              <w:top w:val="single" w:sz="4" w:space="0" w:color="000080"/>
              <w:left w:val="single" w:sz="4" w:space="0" w:color="000080"/>
              <w:bottom w:val="single" w:sz="4" w:space="0" w:color="000080"/>
              <w:right w:val="nil"/>
            </w:tcBorders>
            <w:shd w:val="clear" w:color="auto" w:fill="FFFFFF"/>
            <w:vAlign w:val="center"/>
            <w:hideMark/>
          </w:tcPr>
          <w:p w:rsidR="00ED7F17" w:rsidRDefault="00ED7F17">
            <w:pPr>
              <w:pStyle w:val="ConsPlusNormal"/>
              <w:jc w:val="center"/>
            </w:pPr>
            <w:r>
              <w:rPr>
                <w:rFonts w:ascii="Times New Roman" w:hAnsi="Times New Roman" w:cs="Times New Roman"/>
                <w:sz w:val="20"/>
                <w:highlight w:val="white"/>
              </w:rPr>
              <w:t>1871</w:t>
            </w:r>
          </w:p>
        </w:tc>
        <w:tc>
          <w:tcPr>
            <w:tcW w:w="791" w:type="dxa"/>
            <w:tcBorders>
              <w:top w:val="single" w:sz="4" w:space="0" w:color="000080"/>
              <w:left w:val="single" w:sz="4" w:space="0" w:color="000080"/>
              <w:bottom w:val="single" w:sz="4" w:space="0" w:color="000080"/>
              <w:right w:val="nil"/>
            </w:tcBorders>
            <w:shd w:val="clear" w:color="auto" w:fill="FFFFFF"/>
            <w:vAlign w:val="center"/>
            <w:hideMark/>
          </w:tcPr>
          <w:p w:rsidR="00ED7F17" w:rsidRDefault="00ED7F17">
            <w:pPr>
              <w:pStyle w:val="ConsPlusNormal"/>
              <w:jc w:val="center"/>
            </w:pPr>
            <w:r>
              <w:rPr>
                <w:rFonts w:ascii="Times New Roman" w:hAnsi="Times New Roman" w:cs="Times New Roman"/>
                <w:sz w:val="20"/>
                <w:highlight w:val="white"/>
              </w:rPr>
              <w:t>1935</w:t>
            </w:r>
          </w:p>
        </w:tc>
        <w:tc>
          <w:tcPr>
            <w:tcW w:w="735" w:type="dxa"/>
            <w:tcBorders>
              <w:top w:val="single" w:sz="4" w:space="0" w:color="000080"/>
              <w:left w:val="single" w:sz="4" w:space="0" w:color="000080"/>
              <w:bottom w:val="single" w:sz="4" w:space="0" w:color="000080"/>
              <w:right w:val="nil"/>
            </w:tcBorders>
            <w:shd w:val="clear" w:color="auto" w:fill="FFFFFF"/>
            <w:vAlign w:val="center"/>
            <w:hideMark/>
          </w:tcPr>
          <w:p w:rsidR="00ED7F17" w:rsidRDefault="00ED7F17">
            <w:pPr>
              <w:pStyle w:val="ConsPlusNormal"/>
              <w:jc w:val="center"/>
            </w:pPr>
            <w:r>
              <w:rPr>
                <w:rFonts w:ascii="Times New Roman" w:hAnsi="Times New Roman" w:cs="Times New Roman"/>
                <w:sz w:val="20"/>
                <w:highlight w:val="white"/>
              </w:rPr>
              <w:t>1963</w:t>
            </w:r>
          </w:p>
        </w:tc>
        <w:tc>
          <w:tcPr>
            <w:tcW w:w="570" w:type="dxa"/>
            <w:tcBorders>
              <w:top w:val="single" w:sz="4" w:space="0" w:color="000080"/>
              <w:left w:val="single" w:sz="4" w:space="0" w:color="000080"/>
              <w:bottom w:val="single" w:sz="4" w:space="0" w:color="000080"/>
              <w:right w:val="nil"/>
            </w:tcBorders>
            <w:shd w:val="clear" w:color="auto" w:fill="FFFFFF"/>
            <w:vAlign w:val="center"/>
            <w:hideMark/>
          </w:tcPr>
          <w:p w:rsidR="00ED7F17" w:rsidRDefault="00ED7F17">
            <w:pPr>
              <w:pStyle w:val="ConsPlusNormal"/>
              <w:jc w:val="center"/>
            </w:pPr>
            <w:r>
              <w:rPr>
                <w:rFonts w:ascii="Times New Roman" w:hAnsi="Times New Roman" w:cs="Times New Roman"/>
                <w:sz w:val="20"/>
                <w:highlight w:val="white"/>
              </w:rPr>
              <w:t>1992</w:t>
            </w:r>
          </w:p>
        </w:tc>
        <w:tc>
          <w:tcPr>
            <w:tcW w:w="734" w:type="dxa"/>
            <w:tcBorders>
              <w:top w:val="single" w:sz="4" w:space="0" w:color="000080"/>
              <w:left w:val="single" w:sz="4" w:space="0" w:color="000080"/>
              <w:bottom w:val="single" w:sz="4" w:space="0" w:color="000080"/>
              <w:right w:val="nil"/>
            </w:tcBorders>
            <w:shd w:val="clear" w:color="auto" w:fill="FFFFFF"/>
            <w:vAlign w:val="center"/>
            <w:hideMark/>
          </w:tcPr>
          <w:p w:rsidR="00ED7F17" w:rsidRDefault="00ED7F17">
            <w:pPr>
              <w:pStyle w:val="ConsPlusNormal"/>
              <w:jc w:val="center"/>
            </w:pPr>
            <w:r>
              <w:rPr>
                <w:rFonts w:ascii="Times New Roman" w:hAnsi="Times New Roman" w:cs="Times New Roman"/>
                <w:sz w:val="20"/>
                <w:highlight w:val="white"/>
              </w:rPr>
              <w:t>2021</w:t>
            </w:r>
          </w:p>
        </w:tc>
        <w:tc>
          <w:tcPr>
            <w:tcW w:w="735" w:type="dxa"/>
            <w:tcBorders>
              <w:top w:val="single" w:sz="4" w:space="0" w:color="000080"/>
              <w:left w:val="single" w:sz="4" w:space="0" w:color="000080"/>
              <w:bottom w:val="single" w:sz="4" w:space="0" w:color="000080"/>
              <w:right w:val="nil"/>
            </w:tcBorders>
            <w:shd w:val="clear" w:color="auto" w:fill="FFFFFF"/>
            <w:vAlign w:val="center"/>
            <w:hideMark/>
          </w:tcPr>
          <w:p w:rsidR="00ED7F17" w:rsidRDefault="00ED7F17">
            <w:pPr>
              <w:pStyle w:val="ConsPlusNormal"/>
              <w:jc w:val="center"/>
            </w:pPr>
            <w:r>
              <w:rPr>
                <w:rFonts w:ascii="Times New Roman" w:hAnsi="Times New Roman" w:cs="Times New Roman"/>
                <w:sz w:val="20"/>
                <w:highlight w:val="white"/>
              </w:rPr>
              <w:t>2050</w:t>
            </w:r>
          </w:p>
        </w:tc>
        <w:tc>
          <w:tcPr>
            <w:tcW w:w="914" w:type="dxa"/>
            <w:tcBorders>
              <w:top w:val="single" w:sz="4" w:space="0" w:color="000080"/>
              <w:left w:val="single" w:sz="4" w:space="0" w:color="000080"/>
              <w:bottom w:val="single" w:sz="4" w:space="0" w:color="000080"/>
              <w:right w:val="single" w:sz="4" w:space="0" w:color="000080"/>
            </w:tcBorders>
            <w:shd w:val="clear" w:color="auto" w:fill="FFFFFF"/>
            <w:vAlign w:val="center"/>
            <w:hideMark/>
          </w:tcPr>
          <w:p w:rsidR="00ED7F17" w:rsidRDefault="00ED7F17">
            <w:pPr>
              <w:pStyle w:val="ConsPlusNormal"/>
              <w:jc w:val="center"/>
            </w:pPr>
            <w:r>
              <w:rPr>
                <w:rFonts w:ascii="Times New Roman" w:hAnsi="Times New Roman" w:cs="Times New Roman"/>
                <w:sz w:val="20"/>
                <w:highlight w:val="white"/>
              </w:rPr>
              <w:t>2079</w:t>
            </w:r>
          </w:p>
        </w:tc>
      </w:tr>
      <w:tr w:rsidR="00ED7F17" w:rsidTr="00ED7F17">
        <w:trPr>
          <w:cantSplit/>
        </w:trPr>
        <w:tc>
          <w:tcPr>
            <w:tcW w:w="390" w:type="dxa"/>
            <w:tcBorders>
              <w:top w:val="single" w:sz="4" w:space="0" w:color="000080"/>
              <w:left w:val="single" w:sz="4" w:space="0" w:color="000080"/>
              <w:bottom w:val="single" w:sz="4" w:space="0" w:color="000080"/>
              <w:right w:val="nil"/>
            </w:tcBorders>
            <w:shd w:val="clear" w:color="auto" w:fill="FFFFFF"/>
            <w:hideMark/>
          </w:tcPr>
          <w:p w:rsidR="00ED7F17" w:rsidRDefault="00ED7F17">
            <w:pPr>
              <w:spacing w:after="200" w:line="240" w:lineRule="atLeast"/>
              <w:jc w:val="center"/>
              <w:rPr>
                <w:rFonts w:ascii="Arial" w:eastAsia="Arial" w:hAnsi="Arial" w:cs="Arial"/>
                <w:sz w:val="22"/>
                <w:szCs w:val="22"/>
              </w:rPr>
            </w:pPr>
            <w:r>
              <w:rPr>
                <w:sz w:val="20"/>
                <w:szCs w:val="20"/>
              </w:rPr>
              <w:t>7.</w:t>
            </w:r>
          </w:p>
        </w:tc>
        <w:tc>
          <w:tcPr>
            <w:tcW w:w="3690" w:type="dxa"/>
            <w:tcBorders>
              <w:top w:val="single" w:sz="4" w:space="0" w:color="000080"/>
              <w:left w:val="single" w:sz="4" w:space="0" w:color="000080"/>
              <w:bottom w:val="single" w:sz="4" w:space="0" w:color="000080"/>
              <w:right w:val="nil"/>
            </w:tcBorders>
            <w:shd w:val="clear" w:color="auto" w:fill="FFFFFF"/>
            <w:vAlign w:val="center"/>
            <w:hideMark/>
          </w:tcPr>
          <w:p w:rsidR="00ED7F17" w:rsidRDefault="00ED7F17">
            <w:pPr>
              <w:rPr>
                <w:rFonts w:ascii="Arial" w:eastAsia="Arial" w:hAnsi="Arial" w:cs="Arial"/>
                <w:sz w:val="22"/>
                <w:szCs w:val="22"/>
              </w:rPr>
            </w:pPr>
            <w:r>
              <w:rPr>
                <w:sz w:val="20"/>
                <w:szCs w:val="20"/>
              </w:rPr>
              <w:t xml:space="preserve">Доля профильных госпитализаций пациентов с </w:t>
            </w:r>
            <w:r>
              <w:rPr>
                <w:color w:val="000000"/>
                <w:sz w:val="20"/>
                <w:szCs w:val="20"/>
              </w:rPr>
              <w:t xml:space="preserve">острыми нарушениями мозгового кровообращения, доставленных </w:t>
            </w:r>
            <w:r>
              <w:rPr>
                <w:sz w:val="20"/>
                <w:szCs w:val="20"/>
              </w:rPr>
              <w:t>автомобилями скорой медицинской помощи, %</w:t>
            </w:r>
          </w:p>
        </w:tc>
        <w:tc>
          <w:tcPr>
            <w:tcW w:w="1024" w:type="dxa"/>
            <w:tcBorders>
              <w:top w:val="single" w:sz="4" w:space="0" w:color="000080"/>
              <w:left w:val="single" w:sz="4" w:space="0" w:color="000080"/>
              <w:bottom w:val="single" w:sz="4" w:space="0" w:color="000080"/>
              <w:right w:val="nil"/>
            </w:tcBorders>
            <w:shd w:val="clear" w:color="auto" w:fill="FFFFFF"/>
            <w:vAlign w:val="center"/>
            <w:hideMark/>
          </w:tcPr>
          <w:p w:rsidR="00ED7F17" w:rsidRDefault="00ED7F17">
            <w:pPr>
              <w:pStyle w:val="ConsPlusNormal"/>
              <w:jc w:val="center"/>
            </w:pPr>
            <w:r>
              <w:rPr>
                <w:rFonts w:ascii="Times New Roman" w:hAnsi="Times New Roman" w:cs="Times New Roman"/>
                <w:sz w:val="20"/>
                <w:highlight w:val="white"/>
              </w:rPr>
              <w:t>88,4</w:t>
            </w:r>
          </w:p>
        </w:tc>
        <w:tc>
          <w:tcPr>
            <w:tcW w:w="791" w:type="dxa"/>
            <w:tcBorders>
              <w:top w:val="single" w:sz="4" w:space="0" w:color="000080"/>
              <w:left w:val="single" w:sz="4" w:space="0" w:color="000080"/>
              <w:bottom w:val="single" w:sz="4" w:space="0" w:color="000080"/>
              <w:right w:val="nil"/>
            </w:tcBorders>
            <w:shd w:val="clear" w:color="auto" w:fill="FFFFFF"/>
            <w:vAlign w:val="center"/>
            <w:hideMark/>
          </w:tcPr>
          <w:p w:rsidR="00ED7F17" w:rsidRDefault="00ED7F17">
            <w:pPr>
              <w:pStyle w:val="ConsPlusNormal"/>
              <w:jc w:val="center"/>
            </w:pPr>
            <w:r>
              <w:rPr>
                <w:rFonts w:ascii="Times New Roman" w:hAnsi="Times New Roman" w:cs="Times New Roman"/>
                <w:sz w:val="20"/>
                <w:highlight w:val="white"/>
              </w:rPr>
              <w:t>89,5</w:t>
            </w:r>
          </w:p>
        </w:tc>
        <w:tc>
          <w:tcPr>
            <w:tcW w:w="735" w:type="dxa"/>
            <w:tcBorders>
              <w:top w:val="single" w:sz="4" w:space="0" w:color="000080"/>
              <w:left w:val="single" w:sz="4" w:space="0" w:color="000080"/>
              <w:bottom w:val="single" w:sz="4" w:space="0" w:color="000080"/>
              <w:right w:val="nil"/>
            </w:tcBorders>
            <w:shd w:val="clear" w:color="auto" w:fill="FFFFFF"/>
            <w:vAlign w:val="center"/>
            <w:hideMark/>
          </w:tcPr>
          <w:p w:rsidR="00ED7F17" w:rsidRDefault="00ED7F17">
            <w:pPr>
              <w:pStyle w:val="ConsPlusNormal"/>
              <w:jc w:val="center"/>
            </w:pPr>
            <w:r>
              <w:rPr>
                <w:rFonts w:ascii="Times New Roman" w:hAnsi="Times New Roman" w:cs="Times New Roman"/>
                <w:sz w:val="20"/>
                <w:highlight w:val="white"/>
              </w:rPr>
              <w:t>90,6</w:t>
            </w:r>
          </w:p>
        </w:tc>
        <w:tc>
          <w:tcPr>
            <w:tcW w:w="570" w:type="dxa"/>
            <w:tcBorders>
              <w:top w:val="single" w:sz="4" w:space="0" w:color="000080"/>
              <w:left w:val="single" w:sz="4" w:space="0" w:color="000080"/>
              <w:bottom w:val="single" w:sz="4" w:space="0" w:color="000080"/>
              <w:right w:val="nil"/>
            </w:tcBorders>
            <w:shd w:val="clear" w:color="auto" w:fill="FFFFFF"/>
            <w:vAlign w:val="center"/>
            <w:hideMark/>
          </w:tcPr>
          <w:p w:rsidR="00ED7F17" w:rsidRDefault="00ED7F17">
            <w:pPr>
              <w:pStyle w:val="ConsPlusNormal"/>
              <w:jc w:val="center"/>
            </w:pPr>
            <w:r>
              <w:rPr>
                <w:rFonts w:ascii="Times New Roman" w:hAnsi="Times New Roman" w:cs="Times New Roman"/>
                <w:sz w:val="20"/>
                <w:highlight w:val="white"/>
              </w:rPr>
              <w:t>91,7</w:t>
            </w:r>
          </w:p>
        </w:tc>
        <w:tc>
          <w:tcPr>
            <w:tcW w:w="734" w:type="dxa"/>
            <w:tcBorders>
              <w:top w:val="single" w:sz="4" w:space="0" w:color="000080"/>
              <w:left w:val="single" w:sz="4" w:space="0" w:color="000080"/>
              <w:bottom w:val="single" w:sz="4" w:space="0" w:color="000080"/>
              <w:right w:val="nil"/>
            </w:tcBorders>
            <w:shd w:val="clear" w:color="auto" w:fill="FFFFFF"/>
            <w:vAlign w:val="center"/>
            <w:hideMark/>
          </w:tcPr>
          <w:p w:rsidR="00ED7F17" w:rsidRDefault="00ED7F17">
            <w:pPr>
              <w:pStyle w:val="ConsPlusNormal"/>
              <w:jc w:val="center"/>
            </w:pPr>
            <w:r>
              <w:rPr>
                <w:rFonts w:ascii="Times New Roman" w:hAnsi="Times New Roman" w:cs="Times New Roman"/>
                <w:sz w:val="20"/>
                <w:highlight w:val="white"/>
              </w:rPr>
              <w:t>92,8</w:t>
            </w:r>
          </w:p>
        </w:tc>
        <w:tc>
          <w:tcPr>
            <w:tcW w:w="735" w:type="dxa"/>
            <w:tcBorders>
              <w:top w:val="single" w:sz="4" w:space="0" w:color="000080"/>
              <w:left w:val="single" w:sz="4" w:space="0" w:color="000080"/>
              <w:bottom w:val="single" w:sz="4" w:space="0" w:color="000080"/>
              <w:right w:val="nil"/>
            </w:tcBorders>
            <w:shd w:val="clear" w:color="auto" w:fill="FFFFFF"/>
            <w:vAlign w:val="center"/>
            <w:hideMark/>
          </w:tcPr>
          <w:p w:rsidR="00ED7F17" w:rsidRDefault="00ED7F17">
            <w:pPr>
              <w:pStyle w:val="ConsPlusNormal"/>
              <w:jc w:val="center"/>
            </w:pPr>
            <w:r>
              <w:rPr>
                <w:rFonts w:ascii="Times New Roman" w:hAnsi="Times New Roman" w:cs="Times New Roman"/>
                <w:sz w:val="20"/>
                <w:highlight w:val="white"/>
              </w:rPr>
              <w:t>93,9</w:t>
            </w:r>
          </w:p>
        </w:tc>
        <w:tc>
          <w:tcPr>
            <w:tcW w:w="914" w:type="dxa"/>
            <w:tcBorders>
              <w:top w:val="single" w:sz="4" w:space="0" w:color="000080"/>
              <w:left w:val="single" w:sz="4" w:space="0" w:color="000080"/>
              <w:bottom w:val="single" w:sz="4" w:space="0" w:color="000080"/>
              <w:right w:val="single" w:sz="4" w:space="0" w:color="000080"/>
            </w:tcBorders>
            <w:shd w:val="clear" w:color="auto" w:fill="FFFFFF"/>
            <w:vAlign w:val="center"/>
            <w:hideMark/>
          </w:tcPr>
          <w:p w:rsidR="00ED7F17" w:rsidRDefault="00ED7F17">
            <w:pPr>
              <w:pStyle w:val="ConsPlusNormal"/>
              <w:jc w:val="center"/>
            </w:pPr>
            <w:r>
              <w:rPr>
                <w:rFonts w:ascii="Times New Roman" w:hAnsi="Times New Roman" w:cs="Times New Roman"/>
                <w:sz w:val="20"/>
                <w:highlight w:val="white"/>
              </w:rPr>
              <w:t>95,0</w:t>
            </w:r>
          </w:p>
        </w:tc>
      </w:tr>
    </w:tbl>
    <w:p w:rsidR="00ED7F17" w:rsidRDefault="00ED7F17" w:rsidP="00ED7F17">
      <w:pPr>
        <w:ind w:left="720" w:firstLine="709"/>
        <w:jc w:val="both"/>
        <w:rPr>
          <w:rFonts w:eastAsia="Arial"/>
        </w:rPr>
      </w:pPr>
    </w:p>
    <w:p w:rsidR="00ED7F17" w:rsidRDefault="00ED7F17" w:rsidP="00ED7F17">
      <w:pPr>
        <w:ind w:left="720" w:firstLine="709"/>
        <w:jc w:val="both"/>
      </w:pPr>
    </w:p>
    <w:p w:rsidR="00ED7F17" w:rsidRDefault="00ED7F17" w:rsidP="00ED7F17">
      <w:pPr>
        <w:ind w:firstLine="709"/>
        <w:jc w:val="both"/>
        <w:rPr>
          <w:rFonts w:ascii="Arial" w:hAnsi="Arial" w:cs="Arial"/>
          <w:sz w:val="22"/>
          <w:szCs w:val="22"/>
        </w:rPr>
      </w:pPr>
      <w:r>
        <w:rPr>
          <w:rFonts w:eastAsia="Calibri"/>
          <w:b/>
          <w:bCs/>
        </w:rPr>
        <w:t>3. Задачи региональной программы</w:t>
      </w:r>
    </w:p>
    <w:p w:rsidR="00ED7F17" w:rsidRDefault="00ED7F17" w:rsidP="00ED7F17">
      <w:pPr>
        <w:pStyle w:val="17"/>
        <w:numPr>
          <w:ilvl w:val="0"/>
          <w:numId w:val="14"/>
        </w:numPr>
        <w:tabs>
          <w:tab w:val="left" w:pos="993"/>
        </w:tabs>
        <w:ind w:left="0" w:firstLine="709"/>
        <w:jc w:val="both"/>
      </w:pPr>
      <w:r>
        <w:rPr>
          <w:rFonts w:ascii="Times New Roman" w:hAnsi="Times New Roman" w:cs="Times New Roman"/>
        </w:rPr>
        <w:t>Р</w:t>
      </w:r>
      <w:r>
        <w:rPr>
          <w:rFonts w:ascii="Times New Roman" w:hAnsi="Times New Roman" w:cs="Times New Roman"/>
          <w:color w:val="000000"/>
        </w:rPr>
        <w:t>азработка мер по повышению качества оказания медицинской помощи у пациентов ключевых групп сердечно-сосудистых заболеваний, определяющие основной вклад в заболеваемость и смертность от ССЗ.</w:t>
      </w:r>
    </w:p>
    <w:p w:rsidR="00ED7F17" w:rsidRDefault="00ED7F17" w:rsidP="00ED7F17">
      <w:pPr>
        <w:pStyle w:val="17"/>
        <w:numPr>
          <w:ilvl w:val="0"/>
          <w:numId w:val="14"/>
        </w:numPr>
        <w:tabs>
          <w:tab w:val="left" w:pos="993"/>
        </w:tabs>
        <w:ind w:left="0" w:firstLine="709"/>
        <w:jc w:val="both"/>
      </w:pPr>
      <w:r>
        <w:rPr>
          <w:rFonts w:ascii="Times New Roman" w:hAnsi="Times New Roman" w:cs="Times New Roman"/>
          <w:color w:val="000000"/>
        </w:rPr>
        <w:t>Проведение мероприятий по профилактике и лечению факторов риска болезней системы кровообращения (артериальной гипертензии, курения, высокого уровня холестерина; сахарного диабета; употребления алкоголя; низкой физической активности; избыточной массы тела и ожирения), организация и проведение информационно-просветительских программ для населения с использованием средств массовой информации, в том числе, в целях информирования населения о симптомах ОНМК, , организация школ здоровья для пациентов группы высокого риска по возникновению ОНМК/ОКС. Формирование здорового образа жизни.</w:t>
      </w:r>
    </w:p>
    <w:p w:rsidR="00ED7F17" w:rsidRDefault="00ED7F17" w:rsidP="00ED7F17">
      <w:pPr>
        <w:pStyle w:val="17"/>
        <w:numPr>
          <w:ilvl w:val="0"/>
          <w:numId w:val="14"/>
        </w:numPr>
        <w:tabs>
          <w:tab w:val="left" w:pos="993"/>
        </w:tabs>
        <w:ind w:left="0" w:firstLine="709"/>
        <w:jc w:val="both"/>
      </w:pPr>
      <w:r>
        <w:rPr>
          <w:rFonts w:ascii="Times New Roman" w:hAnsi="Times New Roman" w:cs="Times New Roman"/>
          <w:color w:val="000000"/>
        </w:rPr>
        <w:t>Совершенствование системы оказания первичной медико-санитарной помощи пациентам с внедрением алгоритмов диспансеризации населения, направленных на группы риска, особенно по развитию острого нарушения мозгового кровообращения и острого коронарного синдрома, раннее выявление лиц из группы высокого риска по развитию инсульта и инфаркта миокарда, пациентов с хронической сердечной недостаточностью;</w:t>
      </w:r>
    </w:p>
    <w:p w:rsidR="00ED7F17" w:rsidRDefault="00ED7F17" w:rsidP="00ED7F17">
      <w:pPr>
        <w:pStyle w:val="17"/>
        <w:numPr>
          <w:ilvl w:val="0"/>
          <w:numId w:val="14"/>
        </w:numPr>
        <w:tabs>
          <w:tab w:val="left" w:pos="993"/>
        </w:tabs>
        <w:ind w:left="0" w:firstLine="709"/>
        <w:jc w:val="both"/>
      </w:pPr>
      <w:r>
        <w:rPr>
          <w:rFonts w:ascii="Times New Roman" w:hAnsi="Times New Roman" w:cs="Times New Roman"/>
          <w:color w:val="000000"/>
        </w:rPr>
        <w:t>Внедрение новых эффективных технологий диагностики, лечения и профилактики болезней системы кровообращения с увеличением объемов оказания медицинской помощи, реализацией программ мониторинга (региональные регистры) и льготного лекарственного обеспечения пациентов высокого риска повторных событий и неблагоприятного исхода;</w:t>
      </w:r>
    </w:p>
    <w:p w:rsidR="00ED7F17" w:rsidRDefault="00ED7F17" w:rsidP="00ED7F17">
      <w:pPr>
        <w:pStyle w:val="17"/>
        <w:numPr>
          <w:ilvl w:val="0"/>
          <w:numId w:val="14"/>
        </w:numPr>
        <w:tabs>
          <w:tab w:val="left" w:pos="993"/>
        </w:tabs>
        <w:ind w:left="0" w:firstLine="709"/>
        <w:jc w:val="both"/>
      </w:pPr>
      <w:r>
        <w:rPr>
          <w:rFonts w:ascii="Times New Roman" w:hAnsi="Times New Roman" w:cs="Times New Roman"/>
          <w:color w:val="000000"/>
        </w:rPr>
        <w:t>Разработка и реализация комплекса мероприятий по совершенствованию системы реабилитации пациентов с болезнями системы кровообращения, внедрение ранней мультидисциплинарной реабилитации больных, реабилитации на амбулаторном этапе лечения.</w:t>
      </w:r>
    </w:p>
    <w:p w:rsidR="00ED7F17" w:rsidRDefault="00ED7F17" w:rsidP="00ED7F17">
      <w:pPr>
        <w:pStyle w:val="17"/>
        <w:numPr>
          <w:ilvl w:val="0"/>
          <w:numId w:val="14"/>
        </w:numPr>
        <w:tabs>
          <w:tab w:val="left" w:pos="993"/>
        </w:tabs>
        <w:ind w:left="0" w:firstLine="709"/>
        <w:jc w:val="both"/>
      </w:pPr>
      <w:r>
        <w:rPr>
          <w:rFonts w:ascii="Times New Roman" w:hAnsi="Times New Roman" w:cs="Times New Roman"/>
          <w:color w:val="000000"/>
        </w:rPr>
        <w:t>Совершенствование материально-технической базы учреждений, оказывающих медицинскую помощь пациентам с болезнями системы кровообращения.</w:t>
      </w:r>
    </w:p>
    <w:p w:rsidR="00ED7F17" w:rsidRDefault="00ED7F17" w:rsidP="00ED7F17">
      <w:pPr>
        <w:pStyle w:val="17"/>
        <w:numPr>
          <w:ilvl w:val="0"/>
          <w:numId w:val="14"/>
        </w:numPr>
        <w:tabs>
          <w:tab w:val="left" w:pos="993"/>
        </w:tabs>
        <w:ind w:left="0" w:firstLine="709"/>
        <w:jc w:val="both"/>
      </w:pPr>
      <w:r>
        <w:rPr>
          <w:rFonts w:ascii="Times New Roman" w:hAnsi="Times New Roman" w:cs="Times New Roman"/>
          <w:color w:val="000000"/>
        </w:rPr>
        <w:t>Переоснащение медицинским оборудованием медицинских организаций Астраханской области в соответствии с паспортом регионального проекта «Борьба с сердечно-сосудистыми заболеваниями (Астраханская область)».</w:t>
      </w:r>
    </w:p>
    <w:p w:rsidR="00ED7F17" w:rsidRDefault="00ED7F17" w:rsidP="00ED7F17">
      <w:pPr>
        <w:pStyle w:val="17"/>
        <w:numPr>
          <w:ilvl w:val="0"/>
          <w:numId w:val="14"/>
        </w:numPr>
        <w:tabs>
          <w:tab w:val="left" w:pos="993"/>
        </w:tabs>
        <w:ind w:left="0" w:firstLine="709"/>
        <w:jc w:val="both"/>
      </w:pPr>
      <w:r>
        <w:rPr>
          <w:rFonts w:ascii="Times New Roman" w:hAnsi="Times New Roman" w:cs="Times New Roman"/>
          <w:color w:val="000000"/>
        </w:rPr>
        <w:t>Организация сбора достоверных статистических данных по заболеваемости, смертности, летальности и инвалидности по группе болезней системы кровообращения (гипертоническая болезнь, инфаркт миокарда, инсульт и др.), в том числе с использованием региональных информационных сервисов.</w:t>
      </w:r>
    </w:p>
    <w:p w:rsidR="00ED7F17" w:rsidRDefault="00ED7F17" w:rsidP="00ED7F17">
      <w:pPr>
        <w:pStyle w:val="17"/>
        <w:numPr>
          <w:ilvl w:val="0"/>
          <w:numId w:val="14"/>
        </w:numPr>
        <w:tabs>
          <w:tab w:val="left" w:pos="993"/>
        </w:tabs>
        <w:spacing w:line="240" w:lineRule="auto"/>
        <w:ind w:left="0" w:firstLine="709"/>
        <w:jc w:val="both"/>
      </w:pPr>
      <w:r>
        <w:rPr>
          <w:rFonts w:ascii="Times New Roman" w:hAnsi="Times New Roman" w:cs="Times New Roman"/>
          <w:color w:val="000000"/>
        </w:rPr>
        <w:t>Привлечение специалистов и укомплектование врачами-терапевтами участковыми и врачами-неврологами амбулаторно-поликлинической службы: для привлечения специалистов и укомплектования врачами-терапевтами участковыми и врачами–неврологами амбулаторно-поликлинической службы, департаментом здравоохранения проводятся следующие мероприятия: целевое обучении, трудоустройство выпускников после прохождения первичной аккредитации, подготовка узких специалистов в целевой ординатуре.</w:t>
      </w:r>
    </w:p>
    <w:p w:rsidR="00ED7F17" w:rsidRDefault="00ED7F17" w:rsidP="00ED7F17">
      <w:pPr>
        <w:pStyle w:val="17"/>
        <w:numPr>
          <w:ilvl w:val="0"/>
          <w:numId w:val="14"/>
        </w:numPr>
        <w:tabs>
          <w:tab w:val="left" w:pos="993"/>
        </w:tabs>
        <w:ind w:left="0" w:firstLine="709"/>
        <w:jc w:val="both"/>
      </w:pPr>
      <w:r>
        <w:rPr>
          <w:rFonts w:ascii="Times New Roman" w:hAnsi="Times New Roman" w:cs="Times New Roman"/>
          <w:color w:val="000000"/>
        </w:rPr>
        <w:t xml:space="preserve">Обеспечить повышение качества оказания медицинской помощи больным с ССЗ в соответствии с клиническими рекомендациями совместно с профильными национальными медицинскими исследовательскими центрами. </w:t>
      </w:r>
    </w:p>
    <w:p w:rsidR="00ED7F17" w:rsidRDefault="00ED7F17" w:rsidP="00ED7F17">
      <w:pPr>
        <w:pStyle w:val="17"/>
        <w:numPr>
          <w:ilvl w:val="0"/>
          <w:numId w:val="14"/>
        </w:numPr>
        <w:tabs>
          <w:tab w:val="left" w:pos="993"/>
        </w:tabs>
        <w:ind w:left="0" w:firstLine="709"/>
        <w:jc w:val="both"/>
      </w:pPr>
      <w:r>
        <w:rPr>
          <w:rFonts w:ascii="Times New Roman" w:eastAsia="Calibri" w:hAnsi="Times New Roman" w:cs="Times New Roman"/>
          <w:color w:val="000000"/>
        </w:rPr>
        <w:t xml:space="preserve">Организовать систему внутреннего контроля качества оказываемой медицинской помощи, основанной на клинических рекомендациях, утвержденных Минздравом РФ, и протоколах лечения (протоколах ведения) больных с ССЗ. </w:t>
      </w:r>
    </w:p>
    <w:p w:rsidR="00ED7F17" w:rsidRDefault="00ED7F17" w:rsidP="00ED7F17">
      <w:pPr>
        <w:pageBreakBefore/>
        <w:ind w:firstLine="708"/>
        <w:jc w:val="both"/>
      </w:pPr>
      <w:r>
        <w:rPr>
          <w:rFonts w:eastAsia="Calibri"/>
          <w:b/>
          <w:bCs/>
          <w:color w:val="000000"/>
        </w:rPr>
        <w:t xml:space="preserve">5. Ожидаемые результаты региональной программы </w:t>
      </w:r>
    </w:p>
    <w:p w:rsidR="00ED7F17" w:rsidRDefault="00ED7F17" w:rsidP="00ED7F17">
      <w:pPr>
        <w:ind w:firstLine="708"/>
        <w:jc w:val="both"/>
        <w:rPr>
          <w:rFonts w:eastAsia="Calibri"/>
          <w:b/>
          <w:bCs/>
          <w:color w:val="000000"/>
        </w:rPr>
      </w:pPr>
    </w:p>
    <w:p w:rsidR="00ED7F17" w:rsidRDefault="00ED7F17" w:rsidP="00ED7F17">
      <w:pPr>
        <w:ind w:firstLine="709"/>
        <w:jc w:val="both"/>
        <w:rPr>
          <w:rFonts w:ascii="Arial" w:eastAsia="Arial" w:hAnsi="Arial" w:cs="Arial"/>
        </w:rPr>
      </w:pPr>
      <w:r>
        <w:t>Исполнение мероприятий региональной программы «Борьба с сердечно-сосудистыми заболеваниями» Астраханской области позволит достичь к 2024 г. следующих результатов:</w:t>
      </w:r>
    </w:p>
    <w:p w:rsidR="00ED7F17" w:rsidRDefault="00ED7F17" w:rsidP="00ED7F17">
      <w:pPr>
        <w:numPr>
          <w:ilvl w:val="0"/>
          <w:numId w:val="14"/>
        </w:numPr>
        <w:overflowPunct/>
        <w:spacing w:before="240"/>
        <w:ind w:left="0" w:firstLine="709"/>
        <w:contextualSpacing/>
        <w:jc w:val="both"/>
      </w:pPr>
      <w:r>
        <w:t>снижения уровня смертности от инфаркта до 40,9 на 100 тыс. населения;</w:t>
      </w:r>
    </w:p>
    <w:p w:rsidR="00ED7F17" w:rsidRDefault="00ED7F17" w:rsidP="00ED7F17">
      <w:pPr>
        <w:numPr>
          <w:ilvl w:val="0"/>
          <w:numId w:val="14"/>
        </w:numPr>
        <w:overflowPunct/>
        <w:spacing w:before="240"/>
        <w:ind w:left="0" w:firstLine="709"/>
        <w:contextualSpacing/>
        <w:jc w:val="both"/>
      </w:pPr>
      <w:r>
        <w:t>снижения смертности от нарушения мозгового кровообращения до 74,8 на 100 тыс. населения;</w:t>
      </w:r>
    </w:p>
    <w:p w:rsidR="00ED7F17" w:rsidRDefault="00ED7F17" w:rsidP="00ED7F17">
      <w:pPr>
        <w:numPr>
          <w:ilvl w:val="0"/>
          <w:numId w:val="14"/>
        </w:numPr>
        <w:overflowPunct/>
        <w:ind w:left="0" w:firstLine="709"/>
        <w:jc w:val="both"/>
      </w:pPr>
      <w:r>
        <w:t>снижение больничной летальности от инфаркта миокарда до 9,0%;</w:t>
      </w:r>
    </w:p>
    <w:p w:rsidR="00ED7F17" w:rsidRDefault="00ED7F17" w:rsidP="00ED7F17">
      <w:pPr>
        <w:numPr>
          <w:ilvl w:val="0"/>
          <w:numId w:val="14"/>
        </w:numPr>
        <w:overflowPunct/>
        <w:ind w:left="0" w:firstLine="709"/>
        <w:jc w:val="both"/>
      </w:pPr>
      <w:r>
        <w:t>снижения больничной летальности от острого нарушения мозгового кровообращения до 14,0%;</w:t>
      </w:r>
    </w:p>
    <w:p w:rsidR="00ED7F17" w:rsidRDefault="00ED7F17" w:rsidP="00ED7F17">
      <w:pPr>
        <w:numPr>
          <w:ilvl w:val="0"/>
          <w:numId w:val="14"/>
        </w:numPr>
        <w:overflowPunct/>
        <w:ind w:left="0" w:firstLine="709"/>
        <w:jc w:val="both"/>
      </w:pPr>
      <w:r>
        <w:t>повышение отношения числа рентгенэндоваскулярных вмешательств в лечебных целях к общему числу выбывших больных, перенесших ОКС, до 72 %;</w:t>
      </w:r>
    </w:p>
    <w:p w:rsidR="00ED7F17" w:rsidRDefault="00ED7F17" w:rsidP="00ED7F17">
      <w:pPr>
        <w:numPr>
          <w:ilvl w:val="0"/>
          <w:numId w:val="14"/>
        </w:numPr>
        <w:overflowPunct/>
        <w:ind w:left="0" w:firstLine="709"/>
        <w:jc w:val="both"/>
      </w:pPr>
      <w:r>
        <w:t>увеличение количества рентгенэндоваскулярных вмешательств в лечебных целях до 2079 ед;</w:t>
      </w:r>
    </w:p>
    <w:p w:rsidR="00ED7F17" w:rsidRDefault="00ED7F17" w:rsidP="00ED7F17">
      <w:pPr>
        <w:numPr>
          <w:ilvl w:val="0"/>
          <w:numId w:val="14"/>
        </w:numPr>
        <w:overflowPunct/>
        <w:ind w:left="0" w:firstLine="709"/>
        <w:jc w:val="both"/>
      </w:pPr>
      <w:r>
        <w:t>повышение доли профильных госпитализаций пациентов с острыми нарушениями мозгового кровообращения, доставленных автомобилями скорой медицинской помощи, до 95,0 %;</w:t>
      </w:r>
    </w:p>
    <w:p w:rsidR="00ED7F17" w:rsidRDefault="00ED7F17" w:rsidP="00ED7F17">
      <w:pPr>
        <w:numPr>
          <w:ilvl w:val="0"/>
          <w:numId w:val="14"/>
        </w:numPr>
        <w:overflowPunct/>
        <w:spacing w:after="240"/>
        <w:ind w:left="0" w:firstLine="709"/>
        <w:contextualSpacing/>
        <w:jc w:val="both"/>
      </w:pPr>
      <w:r>
        <w:rPr>
          <w:rFonts w:eastAsia="Calibri"/>
          <w:color w:val="000000"/>
        </w:rPr>
        <w:t>повышение эффективности использования диагностического и терапевтического оборудования, в том числе ангиографических комплексов, ультразвуковых аппаратов экспертного класса, магнитно-резонансных томографов, компьютерных томографов, для лечения пациентов с сердечно-сосудистыми заболеваниями.</w:t>
      </w:r>
    </w:p>
    <w:p w:rsidR="00ED7F17" w:rsidRDefault="00ED7F17" w:rsidP="00ED7F17">
      <w:pPr>
        <w:ind w:firstLine="709"/>
        <w:jc w:val="both"/>
      </w:pPr>
      <w:r>
        <w:rPr>
          <w:color w:val="000000"/>
        </w:rPr>
        <w:t>Переоснащение регионального сосудистого отделения и первичных сосудистых отделений позволит улучшить организацию оказания экстренной медицинской помощи при ОКСпST (инфаркт миокарда) и ОКСбпST высокого сердечно-сосудистого риска по шкале Grace с использованием высокотехнологичной медицинской помощи (ЧКВ) с достижением доли пациентов с ОКСпST, получивших реперфузионную терапию (ТЛТ или ЧКВ; ТЛТ и ЧКВ–фармако-инвазивный подход) к 2024 году до 90% и доли пациентов с ОКСбпST, подвергшихся ангиопластике со стентированием  коронарных артерий к 2024 году до 35%., а также довести долю рентгенэндоваскулярных вмешательств в лечебных целях, проведенных больным с ОКС, к общему числу выбывших больных, перенесших ОКС, до 60%.</w:t>
      </w:r>
    </w:p>
    <w:p w:rsidR="00ED7F17" w:rsidRDefault="00ED7F17" w:rsidP="00ED7F17">
      <w:pPr>
        <w:ind w:firstLine="709"/>
        <w:jc w:val="both"/>
      </w:pPr>
      <w:r>
        <w:t>В условиях регионального сосудистого центра и первичных сосудистых отделений для лечения острых нарушений мозгового кровообращения (инсультов) будут использоваться передовые методы организации оказания медицинской помощи, успешно зарекомендовавшие себя во многих странах. К их числу относятся: мультидисциплинарный командный подход к ведению больного с цереброваскулярной патологией; этапная медицинская помощь, основанная на данных доказательной медицины; ранняя реабилитация. Использование этих организационных технологий позволит значительно снизить частоту развития осложнений при сосудистой патологии, что повлечет уменьшение показателей летальности, смертности, инвалидизации, длительности стационарного лечения, а также значительное улучшение качества жизни пациентов, в отдаленном периоде после перенесенного инсульта.</w:t>
      </w:r>
    </w:p>
    <w:p w:rsidR="00ED7F17" w:rsidRDefault="00ED7F17" w:rsidP="00ED7F17">
      <w:pPr>
        <w:ind w:firstLine="709"/>
        <w:jc w:val="both"/>
      </w:pPr>
      <w:r>
        <w:t>Внедрение современных организационных технологий позволит повысить доступность и обеспечить население Астраханской области высокоэффективными технологиями диагностики, лечения и профилактики сосудистых заболеваний, в частности:</w:t>
      </w:r>
    </w:p>
    <w:p w:rsidR="00ED7F17" w:rsidRDefault="00ED7F17" w:rsidP="00ED7F17">
      <w:pPr>
        <w:ind w:firstLine="709"/>
        <w:jc w:val="both"/>
      </w:pPr>
      <w:r>
        <w:t>- позволит внедрить круглосуточную службы нейровизуализации и ультразвукового исследования сосудов (дуплексное сканирование, экстра - и транскраниальная допплерография), системный (внутривенный) тромболизис в деятельность отделений для лечения острых нарушений мозгового кровообращения (инсультов);</w:t>
      </w:r>
    </w:p>
    <w:p w:rsidR="00ED7F17" w:rsidRDefault="00ED7F17" w:rsidP="00ED7F17">
      <w:pPr>
        <w:pStyle w:val="52"/>
        <w:tabs>
          <w:tab w:val="left" w:pos="1552"/>
        </w:tabs>
        <w:spacing w:line="240" w:lineRule="auto"/>
        <w:ind w:firstLine="709"/>
        <w:jc w:val="both"/>
      </w:pPr>
      <w:r>
        <w:rPr>
          <w:rFonts w:ascii="Times New Roman" w:hAnsi="Times New Roman" w:cs="Times New Roman"/>
          <w:sz w:val="24"/>
        </w:rPr>
        <w:t>- позволит внедрить новые методы хирургической профилактики нарушений кровообращения (эндартерэктомию, ангиопластику и стентирование), селективный внутриартериальный тромболизис, малоинвализные нейрохирургические методы лечения геморрагических инсультов, аневризм и мальформаций сосудов в деятельность региональных сосудистых центров.</w:t>
      </w:r>
    </w:p>
    <w:p w:rsidR="00ED7F17" w:rsidRDefault="00ED7F17" w:rsidP="00ED7F17">
      <w:pPr>
        <w:pStyle w:val="52"/>
        <w:tabs>
          <w:tab w:val="left" w:pos="1552"/>
        </w:tabs>
        <w:spacing w:line="240" w:lineRule="auto"/>
        <w:ind w:firstLine="709"/>
        <w:jc w:val="both"/>
      </w:pPr>
      <w:r>
        <w:rPr>
          <w:rFonts w:ascii="Times New Roman" w:hAnsi="Times New Roman" w:cs="Times New Roman"/>
          <w:color w:val="000000"/>
          <w:sz w:val="24"/>
        </w:rPr>
        <w:t>В конечном итоге модернизация сосудистого центра и сосудистых отделений позволит снизить больничную летальность от инфаркта миокарда с 22,1% в 2017 году до 8% к 2024 году, а также больничную летальность от острого нарушения мозгового кровообращения с 20,1% в 2017 году до 14% к 2024 году.</w:t>
      </w:r>
    </w:p>
    <w:p w:rsidR="00ED7F17" w:rsidRDefault="00ED7F17" w:rsidP="00ED7F17">
      <w:pPr>
        <w:pStyle w:val="52"/>
        <w:tabs>
          <w:tab w:val="left" w:pos="1552"/>
        </w:tabs>
        <w:spacing w:line="240" w:lineRule="auto"/>
        <w:ind w:firstLine="709"/>
        <w:jc w:val="both"/>
        <w:sectPr w:rsidR="00ED7F17">
          <w:pgSz w:w="11906" w:h="16838"/>
          <w:pgMar w:top="1134" w:right="851" w:bottom="1134" w:left="1701" w:header="720" w:footer="720" w:gutter="0"/>
          <w:cols w:space="720"/>
        </w:sectPr>
      </w:pPr>
      <w:r>
        <w:rPr>
          <w:rFonts w:ascii="Times New Roman" w:eastAsia="Calibri" w:hAnsi="Times New Roman" w:cs="Times New Roman"/>
          <w:iCs/>
          <w:color w:val="000000"/>
          <w:sz w:val="24"/>
          <w:highlight w:val="white"/>
        </w:rPr>
        <w:t>Таким образом, мероприяти, проведенные в рамках регионального проекта «Борьба с сердечно-сосудистыми заболеваниями, позволят снизить смертность от болезней системы кровообращения к 2020 году до 520,0 на 100 тыс. населения и к 2024 году до 408,8.</w:t>
      </w:r>
    </w:p>
    <w:p w:rsidR="00ED7F17" w:rsidRDefault="00ED7F17" w:rsidP="00ED7F17">
      <w:pPr>
        <w:pStyle w:val="a0"/>
        <w:keepNext/>
        <w:widowControl w:val="0"/>
        <w:tabs>
          <w:tab w:val="left" w:pos="1331"/>
        </w:tabs>
        <w:spacing w:after="40" w:line="240" w:lineRule="auto"/>
        <w:ind w:left="1276"/>
        <w:rPr>
          <w:b/>
          <w:bCs/>
          <w:color w:val="000000"/>
          <w:shd w:val="clear" w:color="auto" w:fill="FFFFFF"/>
          <w:lang w:bidi="ru-RU"/>
        </w:rPr>
      </w:pPr>
      <w:r w:rsidRPr="00B158B8">
        <w:rPr>
          <w:b/>
          <w:bCs/>
          <w:color w:val="000000"/>
          <w:shd w:val="clear" w:color="auto" w:fill="FFFFFF"/>
          <w:lang w:bidi="ru-RU"/>
        </w:rPr>
        <w:t xml:space="preserve">4. </w:t>
      </w:r>
      <w:r>
        <w:rPr>
          <w:b/>
          <w:bCs/>
          <w:color w:val="000000"/>
          <w:shd w:val="clear" w:color="auto" w:fill="FFFFFF"/>
          <w:lang w:bidi="ru-RU"/>
        </w:rPr>
        <w:t>План мероприятий региональной программы «Борьба с сердечно-сосудистыми заболеваниями»</w:t>
      </w:r>
    </w:p>
    <w:p w:rsidR="00ED7F17" w:rsidRDefault="00ED7F17" w:rsidP="00ED7F17">
      <w:pPr>
        <w:pStyle w:val="a0"/>
        <w:keepNext/>
        <w:widowControl w:val="0"/>
        <w:tabs>
          <w:tab w:val="left" w:pos="1331"/>
        </w:tabs>
        <w:spacing w:after="40" w:line="240" w:lineRule="auto"/>
        <w:ind w:left="1276"/>
      </w:pPr>
    </w:p>
    <w:tbl>
      <w:tblPr>
        <w:tblW w:w="15493" w:type="dxa"/>
        <w:jc w:val="right"/>
        <w:tblLayout w:type="fixed"/>
        <w:tblCellMar>
          <w:left w:w="113" w:type="dxa"/>
        </w:tblCellMar>
        <w:tblLook w:val="04A0" w:firstRow="1" w:lastRow="0" w:firstColumn="1" w:lastColumn="0" w:noHBand="0" w:noVBand="1"/>
      </w:tblPr>
      <w:tblGrid>
        <w:gridCol w:w="13"/>
        <w:gridCol w:w="1106"/>
        <w:gridCol w:w="17"/>
        <w:gridCol w:w="3205"/>
        <w:gridCol w:w="17"/>
        <w:gridCol w:w="1002"/>
        <w:gridCol w:w="17"/>
        <w:gridCol w:w="1258"/>
        <w:gridCol w:w="47"/>
        <w:gridCol w:w="17"/>
        <w:gridCol w:w="1498"/>
        <w:gridCol w:w="17"/>
        <w:gridCol w:w="106"/>
        <w:gridCol w:w="2491"/>
        <w:gridCol w:w="17"/>
        <w:gridCol w:w="480"/>
        <w:gridCol w:w="28"/>
        <w:gridCol w:w="4100"/>
        <w:gridCol w:w="57"/>
      </w:tblGrid>
      <w:tr w:rsidR="00ED7F17" w:rsidTr="00274256">
        <w:trPr>
          <w:trHeight w:val="57"/>
          <w:jc w:val="right"/>
        </w:trPr>
        <w:tc>
          <w:tcPr>
            <w:tcW w:w="1119" w:type="dxa"/>
            <w:gridSpan w:val="2"/>
            <w:vMerge w:val="restart"/>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rPr>
                <w:b/>
                <w:bCs/>
                <w:color w:val="000000"/>
              </w:rPr>
            </w:pPr>
            <w:r>
              <w:rPr>
                <w:b/>
                <w:bCs/>
                <w:color w:val="000000"/>
              </w:rPr>
              <w:t>№ п/п</w:t>
            </w:r>
          </w:p>
        </w:tc>
        <w:tc>
          <w:tcPr>
            <w:tcW w:w="4241" w:type="dxa"/>
            <w:gridSpan w:val="4"/>
            <w:vMerge w:val="restart"/>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rPr>
                <w:b/>
                <w:bCs/>
                <w:color w:val="000000"/>
              </w:rPr>
            </w:pPr>
            <w:r>
              <w:rPr>
                <w:b/>
                <w:bCs/>
                <w:color w:val="000000"/>
              </w:rPr>
              <w:t>Наименование мероприятия, контрольной точки</w:t>
            </w:r>
          </w:p>
        </w:tc>
        <w:tc>
          <w:tcPr>
            <w:tcW w:w="2837" w:type="dxa"/>
            <w:gridSpan w:val="5"/>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rPr>
                <w:b/>
                <w:bCs/>
                <w:color w:val="000000"/>
              </w:rPr>
            </w:pPr>
            <w:r>
              <w:rPr>
                <w:b/>
                <w:bCs/>
                <w:color w:val="000000"/>
              </w:rPr>
              <w:t>Сроки реализации проекта</w:t>
            </w:r>
          </w:p>
        </w:tc>
        <w:tc>
          <w:tcPr>
            <w:tcW w:w="2614" w:type="dxa"/>
            <w:gridSpan w:val="3"/>
            <w:vMerge w:val="restart"/>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rPr>
                <w:b/>
                <w:bCs/>
                <w:color w:val="000000"/>
              </w:rPr>
            </w:pPr>
            <w:r>
              <w:rPr>
                <w:b/>
                <w:bCs/>
                <w:color w:val="000000"/>
              </w:rPr>
              <w:t>Ответственный исполнитель</w:t>
            </w:r>
          </w:p>
        </w:tc>
        <w:tc>
          <w:tcPr>
            <w:tcW w:w="4682" w:type="dxa"/>
            <w:gridSpan w:val="5"/>
            <w:vMerge w:val="restart"/>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rPr>
                <w:b/>
                <w:bCs/>
                <w:color w:val="000000"/>
              </w:rPr>
            </w:pPr>
            <w:r>
              <w:rPr>
                <w:b/>
                <w:bCs/>
                <w:color w:val="000000"/>
              </w:rPr>
              <w:t>Характеристика результата</w:t>
            </w:r>
          </w:p>
        </w:tc>
      </w:tr>
      <w:tr w:rsidR="00ED7F17" w:rsidTr="00274256">
        <w:trPr>
          <w:trHeight w:val="428"/>
          <w:jc w:val="right"/>
        </w:trPr>
        <w:tc>
          <w:tcPr>
            <w:tcW w:w="1119" w:type="dxa"/>
            <w:gridSpan w:val="2"/>
            <w:vMerge/>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rPr>
                <w:b/>
                <w:bCs/>
                <w:color w:val="000000"/>
              </w:rPr>
            </w:pPr>
          </w:p>
        </w:tc>
        <w:tc>
          <w:tcPr>
            <w:tcW w:w="4241" w:type="dxa"/>
            <w:gridSpan w:val="4"/>
            <w:vMerge/>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rPr>
                <w:b/>
                <w:bCs/>
                <w:color w:val="000000"/>
              </w:rPr>
            </w:pP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rPr>
                <w:b/>
                <w:bCs/>
                <w:color w:val="000000"/>
              </w:rPr>
            </w:pPr>
            <w:r>
              <w:rPr>
                <w:b/>
                <w:bCs/>
                <w:color w:val="000000"/>
              </w:rPr>
              <w:t>Начало</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rPr>
                <w:b/>
                <w:bCs/>
                <w:color w:val="000000"/>
              </w:rPr>
            </w:pPr>
            <w:r>
              <w:rPr>
                <w:b/>
                <w:bCs/>
                <w:color w:val="000000"/>
              </w:rPr>
              <w:t>Окончание</w:t>
            </w:r>
          </w:p>
        </w:tc>
        <w:tc>
          <w:tcPr>
            <w:tcW w:w="2614" w:type="dxa"/>
            <w:gridSpan w:val="3"/>
            <w:vMerge/>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rPr>
                <w:b/>
                <w:bCs/>
                <w:color w:val="000000"/>
              </w:rPr>
            </w:pPr>
          </w:p>
        </w:tc>
        <w:tc>
          <w:tcPr>
            <w:tcW w:w="4682" w:type="dxa"/>
            <w:gridSpan w:val="5"/>
            <w:vMerge/>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rPr>
                <w:b/>
                <w:bCs/>
                <w:color w:val="000000"/>
              </w:rPr>
            </w:pPr>
          </w:p>
        </w:tc>
      </w:tr>
      <w:tr w:rsidR="00ED7F17" w:rsidTr="00274256">
        <w:trPr>
          <w:trHeight w:val="57"/>
          <w:jc w:val="right"/>
        </w:trPr>
        <w:tc>
          <w:tcPr>
            <w:tcW w:w="15493" w:type="dxa"/>
            <w:gridSpan w:val="19"/>
            <w:tcBorders>
              <w:top w:val="single" w:sz="4" w:space="0" w:color="00000A"/>
              <w:left w:val="single" w:sz="4" w:space="0" w:color="00000A"/>
              <w:bottom w:val="single" w:sz="4" w:space="0" w:color="00000A"/>
              <w:right w:val="single" w:sz="4" w:space="0" w:color="00000A"/>
            </w:tcBorders>
            <w:shd w:val="clear" w:color="auto" w:fill="FFFFFF" w:themeFill="background1"/>
            <w:tcMar>
              <w:left w:w="83" w:type="dxa"/>
            </w:tcMar>
          </w:tcPr>
          <w:p w:rsidR="00ED7F17" w:rsidRDefault="00ED7F17" w:rsidP="006F7358">
            <w:pPr>
              <w:jc w:val="both"/>
              <w:rPr>
                <w:b/>
              </w:rPr>
            </w:pPr>
            <w:r>
              <w:rPr>
                <w:b/>
              </w:rPr>
              <w:t>1. Мероприятия по внедрению и соблюдению клинических рекомендаций и протоколов ведения больных с сердечно-сосудистыми заболеваниями</w:t>
            </w:r>
          </w:p>
        </w:tc>
      </w:tr>
      <w:tr w:rsidR="00ED7F17" w:rsidTr="00274256">
        <w:trPr>
          <w:trHeight w:val="162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rPr>
                <w:color w:val="000000"/>
              </w:rPr>
            </w:pPr>
            <w:r>
              <w:rPr>
                <w:color w:val="000000"/>
              </w:rPr>
              <w:t>1.1.</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Издать распоряжение министерства здравоохранения Астраханской области о внедрении и соблюдении клинических рекомендаций ведения больных с сердечно-сосудистыми заболеваниями (далее- ССЗ) по профилю «кардиология» в медицинских организациях Астраханской области</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rPr>
                <w:b/>
                <w:bCs/>
                <w:color w:val="000000"/>
              </w:rPr>
            </w:pPr>
            <w:r>
              <w:rPr>
                <w:color w:val="000000"/>
              </w:rP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31.07.2019</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Министерство здравоохранения Астраханской области (далее – МЗ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Приказ о внедрении и соблюдении клинических рекомендаций ведения больных с болезнями системы кровообращения по профилю «кардиология» в медицинских организациях Астраханской области</w:t>
            </w:r>
          </w:p>
        </w:tc>
      </w:tr>
      <w:tr w:rsidR="00ED7F17" w:rsidTr="00274256">
        <w:trPr>
          <w:trHeight w:val="162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t>1.2.</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t>Издать распоряжение МЗ АО о внедрении и соблюдении клинических рекомендаций ведения больных с болезнями системы кровообращения по профилю «неврология» в медицинских организациях Астраханской области (далее- МО АО)</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t>31.07.2019</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t xml:space="preserve"> МЗ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t>Приказ о внедрении и соблюдении клинических рекомендаций ведения больных с болезнями системы кровообращения по профилю «неврология» в МО АО</w:t>
            </w:r>
          </w:p>
        </w:tc>
      </w:tr>
      <w:tr w:rsidR="00ED7F17" w:rsidTr="00274256">
        <w:trPr>
          <w:trHeight w:val="162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1.2.1</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rPr>
                <w:color w:val="000000"/>
              </w:rPr>
            </w:pPr>
            <w:r>
              <w:rPr>
                <w:color w:val="000000"/>
              </w:rPr>
              <w:t>Разработка главными внештатными специалистами методических рекомендаций по внедрению клинических рекомендаций по профилю «кардиология» и «неврология»</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rPr>
                <w:color w:val="000000"/>
              </w:rPr>
            </w:pPr>
            <w:r>
              <w:rPr>
                <w:color w:val="000000"/>
              </w:rPr>
              <w:t>01.08.2019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rPr>
                <w:color w:val="000000"/>
              </w:rPr>
            </w:pPr>
            <w:r>
              <w:rPr>
                <w:color w:val="000000"/>
              </w:rPr>
              <w:t>31.08.2019</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главный внештатный специалист кардиолог МЗ АО, главный внештатный специалист невролог МЗ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t xml:space="preserve">Утверждены методические рекомендации </w:t>
            </w:r>
            <w:r>
              <w:rPr>
                <w:color w:val="000000"/>
              </w:rPr>
              <w:t>по внедрению клинических рекомендаций по профилю «кардиология» и «неврология» приказом МЗ АО</w:t>
            </w:r>
          </w:p>
        </w:tc>
      </w:tr>
      <w:tr w:rsidR="00ED7F17" w:rsidTr="00274256">
        <w:trPr>
          <w:trHeight w:val="162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t>1.3.</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t>Проведение обучающих образовательных семинаров по внедрению методических рекомендаций по лечению больных с ССЗ в МО АО</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t>01.09.2019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t>31.10.2019</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rPr>
                <w:color w:val="000000"/>
              </w:rPr>
            </w:pPr>
            <w:r>
              <w:rPr>
                <w:color w:val="000000"/>
              </w:rPr>
              <w:t>главный внештатный специалист кардиолог МЗ АО, главный внештатный специалист невролог МЗ АО,</w:t>
            </w:r>
          </w:p>
          <w:p w:rsidR="00ED7F17" w:rsidRDefault="00ED7F17" w:rsidP="006F7358">
            <w:pPr>
              <w:jc w:val="both"/>
            </w:pPr>
            <w:r>
              <w:rPr>
                <w:color w:val="000000"/>
              </w:rPr>
              <w:t>главные врачи МО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t>Проведение 2х обучающих образовательных семинаров по внедрению методических рекомендаций по лечению больных с ССЗ в МО АО</w:t>
            </w:r>
          </w:p>
        </w:tc>
      </w:tr>
      <w:tr w:rsidR="00ED7F17" w:rsidTr="00274256">
        <w:trPr>
          <w:trHeight w:val="162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rPr>
                <w:color w:val="000000"/>
              </w:rPr>
            </w:pPr>
            <w:r>
              <w:rPr>
                <w:color w:val="000000"/>
              </w:rPr>
              <w:t>1.4.</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Проведение образовательных семинаров, клинических конференций, лекций, практических тренингов по изучению клинических рекомендаций по лечению больных с сердечно-сосудистыми заболеваниями по профилям кардиология и неврология в МО АО</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rPr>
                <w:b/>
                <w:bCs/>
                <w:color w:val="000000"/>
              </w:rPr>
            </w:pPr>
            <w:r>
              <w:rPr>
                <w:color w:val="000000"/>
              </w:rPr>
              <w:t>01.10.2019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rPr>
                <w:b/>
                <w:bCs/>
                <w:color w:val="000000"/>
              </w:rPr>
            </w:pPr>
            <w:r>
              <w:rPr>
                <w:color w:val="000000"/>
              </w:rP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t>МЗ АО,</w:t>
            </w:r>
          </w:p>
          <w:p w:rsidR="00ED7F17" w:rsidRDefault="00ED7F17" w:rsidP="006F7358">
            <w:pPr>
              <w:jc w:val="both"/>
            </w:pPr>
            <w:r>
              <w:rPr>
                <w:color w:val="000000"/>
              </w:rPr>
              <w:t>главные внештатные специалисты:кардиолог и невролог,</w:t>
            </w:r>
          </w:p>
          <w:p w:rsidR="00ED7F17" w:rsidRDefault="00ED7F17" w:rsidP="006F7358">
            <w:pPr>
              <w:jc w:val="both"/>
            </w:pPr>
            <w:r>
              <w:rPr>
                <w:color w:val="000000"/>
              </w:rPr>
              <w:t>главные врачи МО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t>Проведено не менее 120 семинаров,</w:t>
            </w:r>
          </w:p>
          <w:p w:rsidR="00ED7F17" w:rsidRDefault="00ED7F17" w:rsidP="006F7358">
            <w:pPr>
              <w:jc w:val="both"/>
            </w:pPr>
            <w:r>
              <w:t>40 клинических конференций-,40, лекций, 40 практических тренингов с участием врачей – профильных специалистов, среднего медицинского персонала МО АО</w:t>
            </w:r>
          </w:p>
        </w:tc>
      </w:tr>
      <w:tr w:rsidR="00ED7F17" w:rsidTr="00274256">
        <w:trPr>
          <w:trHeight w:val="162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rPr>
                <w:color w:val="000000"/>
              </w:rPr>
            </w:pPr>
            <w:r>
              <w:rPr>
                <w:color w:val="000000"/>
              </w:rPr>
              <w:t>1.5.</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Разработка и внедрение локальных нормативных актов в МО, участвующих в оказании помощи пациентам с ССЗ, по внедрению клинических рекомендаций по профилю «кардиология»</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rPr>
                <w:lang w:val="en-US"/>
              </w:rPr>
            </w:pPr>
            <w:r>
              <w:rPr>
                <w:color w:val="000000"/>
                <w:lang w:val="en-US"/>
              </w:rPr>
              <w:t>01.08.2019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rPr>
                <w:lang w:val="en-US"/>
              </w:rPr>
            </w:pPr>
            <w:r>
              <w:rPr>
                <w:color w:val="000000"/>
                <w:lang w:val="en-US"/>
              </w:rPr>
              <w:t>31.08.2019</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Главные врачи МО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Распоряжение об обязательном внедрении клинических рекомендаций при оказании помощи пациентам с ССЗ в МО АО</w:t>
            </w:r>
          </w:p>
        </w:tc>
      </w:tr>
      <w:tr w:rsidR="00ED7F17" w:rsidTr="00274256">
        <w:trPr>
          <w:trHeight w:val="162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rPr>
                <w:color w:val="000000"/>
              </w:rPr>
            </w:pPr>
            <w:r>
              <w:rPr>
                <w:color w:val="000000"/>
              </w:rPr>
              <w:t>1.5.1.</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Разработка и внедрение локальных нормативных актов в МО, участвующих в оказании помощи пациентам с ССЗ, по внедрению клинических рекомендаций по профилю «неврология»</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rPr>
                <w:lang w:val="en-US"/>
              </w:rPr>
            </w:pPr>
            <w:r>
              <w:rPr>
                <w:color w:val="000000"/>
                <w:lang w:val="en-US"/>
              </w:rPr>
              <w:t>01.08.2019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rPr>
                <w:lang w:val="en-US"/>
              </w:rPr>
            </w:pPr>
            <w:r>
              <w:rPr>
                <w:color w:val="000000"/>
                <w:lang w:val="en-US"/>
              </w:rPr>
              <w:t>31.08.2019</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Главные врачи МО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Распоряжение об обязательном внедрении клинических рекомендаций при оказании помощи пациентам с ССЗ в МО АО</w:t>
            </w:r>
          </w:p>
        </w:tc>
      </w:tr>
      <w:tr w:rsidR="00ED7F17" w:rsidTr="00274256">
        <w:trPr>
          <w:trHeight w:val="162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1.6.</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Ежегодное предоставление отчета в МЗ АО о проведении образовательных мероприятий по изучению клинических рекомендаций в каждой МО АО</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rPr>
                <w:color w:val="000000"/>
              </w:rPr>
            </w:pPr>
            <w:r>
              <w:rPr>
                <w:color w:val="000000"/>
              </w:rPr>
              <w:t>01.01.2020</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rPr>
                <w:color w:val="000000"/>
              </w:rPr>
            </w:pPr>
            <w:r>
              <w:rPr>
                <w:color w:val="000000"/>
              </w:rP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Главные врачи МО АО</w:t>
            </w:r>
          </w:p>
          <w:p w:rsidR="00ED7F17" w:rsidRDefault="00ED7F17" w:rsidP="006F7358">
            <w:pPr>
              <w:jc w:val="both"/>
              <w:rPr>
                <w:color w:val="000000"/>
              </w:rPr>
            </w:pP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rPr>
                <w:color w:val="000000"/>
              </w:rPr>
            </w:pPr>
            <w:r>
              <w:rPr>
                <w:color w:val="000000"/>
              </w:rPr>
              <w:t>Ежегодный отчет о проведении образовательных мероприятий по изучению клинических рекомендаций в каждой МО изучения клинических рекомендаций в МО</w:t>
            </w:r>
          </w:p>
        </w:tc>
      </w:tr>
      <w:tr w:rsidR="00ED7F17" w:rsidTr="00274256">
        <w:trPr>
          <w:trHeight w:val="162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1.7.</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t>Ежеквартальный мониторинг исполнения распоряжения МЗ АО о внедрении и соблюдении клинических рекомендаций ведения больных с ССЗ по профилю «неврология» в медицинских организациях Астраханской области</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rPr>
                <w:b/>
                <w:bCs/>
                <w:color w:val="000000"/>
              </w:rPr>
            </w:pPr>
            <w:r>
              <w:rPr>
                <w:color w:val="000000"/>
              </w:rPr>
              <w:t>01.10.2019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rPr>
                <w:b/>
                <w:bCs/>
                <w:color w:val="000000"/>
              </w:rPr>
            </w:pPr>
            <w:r>
              <w:rPr>
                <w:color w:val="000000"/>
              </w:rP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t>Главный внештатный невролог МЗ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t>Отчет с предоставлением в МЗ Астраханской области на основании анализа не менее 25% карт стационарного больного  и не менее 25% амбулаторных карт за истекший период</w:t>
            </w:r>
          </w:p>
          <w:p w:rsidR="00ED7F17" w:rsidRDefault="00ED7F17" w:rsidP="006F7358">
            <w:pPr>
              <w:jc w:val="both"/>
            </w:pPr>
            <w:r>
              <w:t>Аналитическая справка по результатам отчета.</w:t>
            </w:r>
          </w:p>
          <w:p w:rsidR="00ED7F17" w:rsidRDefault="00ED7F17" w:rsidP="006F7358">
            <w:pPr>
              <w:jc w:val="both"/>
            </w:pPr>
          </w:p>
        </w:tc>
      </w:tr>
      <w:tr w:rsidR="00ED7F17" w:rsidTr="00274256">
        <w:trPr>
          <w:trHeight w:val="162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rPr>
                <w:color w:val="000000"/>
              </w:rPr>
            </w:pPr>
            <w:r>
              <w:rPr>
                <w:color w:val="000000"/>
              </w:rPr>
              <w:t>1.8.</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t>Ежеквартальный мониторинг исполнения распоряжения МЗ АО о внедрении и соблюдении клинических рекомендаций ведения больных с ССЗ по профилю «кардиология» в МО АО</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rPr>
                <w:color w:val="000000"/>
              </w:rPr>
            </w:pPr>
            <w:r>
              <w:rPr>
                <w:color w:val="000000"/>
              </w:rPr>
              <w:t>01.10.2019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rPr>
                <w:color w:val="000000"/>
              </w:rPr>
            </w:pPr>
            <w:r>
              <w:rPr>
                <w:color w:val="000000"/>
              </w:rP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t>Главный внештатный кардиолог МЗ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t>Отчет с предоставлением в МЗ АО на основании анализа не менее 25% карт стационарного больного за истекший период</w:t>
            </w:r>
          </w:p>
          <w:p w:rsidR="00ED7F17" w:rsidRDefault="00ED7F17" w:rsidP="006F7358">
            <w:pPr>
              <w:jc w:val="both"/>
            </w:pPr>
            <w:r>
              <w:t>Аналитическая справка по результатам отчета.</w:t>
            </w:r>
          </w:p>
          <w:p w:rsidR="00ED7F17" w:rsidRDefault="00ED7F17" w:rsidP="006F7358">
            <w:pPr>
              <w:jc w:val="both"/>
            </w:pPr>
          </w:p>
        </w:tc>
      </w:tr>
      <w:tr w:rsidR="00ED7F17" w:rsidTr="00274256">
        <w:trPr>
          <w:trHeight w:val="162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1.9.</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t>Разработка перечня индикаторов проверки выполнения клинических рекомендаций по данным медицинской документации в каждой МО как на амбулаторном, так и на стационарном этапе.</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rPr>
                <w:color w:val="000000"/>
              </w:rPr>
            </w:pPr>
            <w:r>
              <w:rPr>
                <w:color w:val="000000"/>
              </w:rP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rPr>
                <w:color w:val="000000"/>
              </w:rPr>
            </w:pPr>
            <w:r>
              <w:rPr>
                <w:color w:val="000000"/>
              </w:rPr>
              <w:t>31.12.2019</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t>МЗ АО</w:t>
            </w:r>
          </w:p>
          <w:p w:rsidR="00ED7F17" w:rsidRDefault="00ED7F17" w:rsidP="006F7358">
            <w:pPr>
              <w:jc w:val="both"/>
            </w:pPr>
            <w:r>
              <w:t>главные внештатные специалисты кардиолог и невролог, г</w:t>
            </w:r>
            <w:r>
              <w:rPr>
                <w:color w:val="000000"/>
              </w:rPr>
              <w:t>лавные врачи МО АО</w:t>
            </w:r>
          </w:p>
          <w:p w:rsidR="00ED7F17" w:rsidRDefault="00ED7F17" w:rsidP="006F7358">
            <w:pPr>
              <w:jc w:val="both"/>
            </w:pPr>
            <w:r>
              <w:rPr>
                <w:color w:val="000000"/>
              </w:rPr>
              <w:t>заместители главного врача по клинико-экспертной работе МО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rPr>
                <w:color w:val="000000"/>
              </w:rPr>
            </w:pPr>
            <w:r>
              <w:rPr>
                <w:color w:val="000000"/>
              </w:rPr>
              <w:t>Проекты Перечня индикаторов</w:t>
            </w:r>
            <w:r>
              <w:t xml:space="preserve"> проверки выполнения клинических рекомендаций по данным медицинской документации</w:t>
            </w:r>
          </w:p>
        </w:tc>
      </w:tr>
      <w:tr w:rsidR="00ED7F17" w:rsidTr="00274256">
        <w:trPr>
          <w:trHeight w:val="162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1.10.</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t>Утверждение Переченя индикаторов проверки выполнения клинических рекомендаций по данным медицинской документации в каждой МО АО, как на амбулаторном, так и на стационарном этапе.</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rPr>
                <w:color w:val="000000"/>
              </w:rPr>
            </w:pPr>
            <w:r>
              <w:rPr>
                <w:color w:val="000000"/>
              </w:rP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rPr>
                <w:color w:val="000000"/>
              </w:rPr>
            </w:pPr>
            <w:r>
              <w:rPr>
                <w:color w:val="000000"/>
              </w:rPr>
              <w:t>31.12.2019</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t>МЗ АО</w:t>
            </w:r>
          </w:p>
          <w:p w:rsidR="00ED7F17" w:rsidRDefault="00ED7F17" w:rsidP="006F7358">
            <w:pPr>
              <w:jc w:val="both"/>
            </w:pP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Распоряжение о внедрении Перечня индикаторов</w:t>
            </w:r>
            <w:r>
              <w:t xml:space="preserve"> проверки выполнения клинических рекомендаций по данным медицинской документации</w:t>
            </w:r>
          </w:p>
        </w:tc>
      </w:tr>
      <w:tr w:rsidR="00ED7F17" w:rsidTr="00274256">
        <w:trPr>
          <w:trHeight w:val="162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1.11.</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t>Утвердить План внутренних проверок индикаторов выполнения клинических рекомендаций по данным медицинской документации в каждой МО АО как на амбулаторном, так и на стационарном этапе.</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rPr>
                <w:color w:val="000000"/>
              </w:rPr>
            </w:pPr>
            <w:r>
              <w:rPr>
                <w:color w:val="000000"/>
              </w:rP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rPr>
                <w:color w:val="000000"/>
              </w:rPr>
            </w:pPr>
            <w:r>
              <w:rPr>
                <w:color w:val="000000"/>
              </w:rPr>
              <w:t>31.12.2019</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t>Главные врачи МО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Приказ о внедрении Плана внутренних проверок индикаторов</w:t>
            </w:r>
            <w:r>
              <w:t xml:space="preserve"> выполнения клинических рекомендаций по данным медицинской документации</w:t>
            </w:r>
          </w:p>
        </w:tc>
      </w:tr>
      <w:tr w:rsidR="00ED7F17" w:rsidTr="00274256">
        <w:trPr>
          <w:trHeight w:val="162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1.12.</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t>Проведение на основании отчетов главных внештатных специалистов анализа соблюдения индикаторов выполнения клинических рекомендаций с формированием управленческих решений на уровне МЗ АО</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rPr>
                <w:color w:val="000000"/>
              </w:rPr>
            </w:pPr>
            <w:r>
              <w:rPr>
                <w:color w:val="000000"/>
              </w:rP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rPr>
                <w:color w:val="000000"/>
              </w:rPr>
            </w:pPr>
            <w:r>
              <w:rPr>
                <w:color w:val="000000"/>
              </w:rP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t>МЗ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rPr>
                <w:color w:val="000000"/>
              </w:rPr>
            </w:pPr>
            <w:r>
              <w:rPr>
                <w:color w:val="000000"/>
              </w:rPr>
              <w:t>Аналитическая справка о результате анализа выполнения МО АО клинических рекомендаций с распоряжением о принятии управленческих решений</w:t>
            </w:r>
          </w:p>
          <w:p w:rsidR="00ED7F17" w:rsidRDefault="00ED7F17" w:rsidP="006F7358">
            <w:pPr>
              <w:jc w:val="both"/>
              <w:rPr>
                <w:color w:val="000000"/>
              </w:rPr>
            </w:pPr>
          </w:p>
        </w:tc>
      </w:tr>
      <w:tr w:rsidR="00ED7F17" w:rsidTr="00274256">
        <w:trPr>
          <w:trHeight w:val="57"/>
          <w:jc w:val="right"/>
        </w:trPr>
        <w:tc>
          <w:tcPr>
            <w:tcW w:w="15493" w:type="dxa"/>
            <w:gridSpan w:val="19"/>
            <w:tcBorders>
              <w:top w:val="single" w:sz="4" w:space="0" w:color="000001"/>
              <w:left w:val="single" w:sz="4" w:space="0" w:color="000001"/>
              <w:bottom w:val="single" w:sz="4" w:space="0" w:color="000001"/>
              <w:right w:val="single" w:sz="4" w:space="0" w:color="000001"/>
            </w:tcBorders>
            <w:shd w:val="clear" w:color="auto" w:fill="FFFFFF" w:themeFill="background1"/>
            <w:tcMar>
              <w:left w:w="88" w:type="dxa"/>
            </w:tcMar>
          </w:tcPr>
          <w:p w:rsidR="00ED7F17" w:rsidRDefault="00ED7F17" w:rsidP="006F7358">
            <w:pPr>
              <w:jc w:val="both"/>
            </w:pPr>
            <w:r>
              <w:rPr>
                <w:b/>
              </w:rPr>
              <w:t>2. Мероприятия по усилению внутреннего контроля качества оказания медицинской помощи</w:t>
            </w:r>
          </w:p>
        </w:tc>
      </w:tr>
      <w:tr w:rsidR="00ED7F17" w:rsidTr="00274256">
        <w:trPr>
          <w:trHeight w:val="162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2.</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Издание распоряжения МЗ АО о внедрении системы внутреннего контроля качества медицинской помощи пациентам с ССЗ на основе критериев качества медицинской помощи и клинических рекомендаций</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01.08.2019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01.09.2019</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МЗ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Распоряжение о внедрении системы внутреннего контроля качества медицинской помощи пациентам с ССЗ на основе критериев качества медицинской помощи и клинических рекомендаций</w:t>
            </w:r>
          </w:p>
        </w:tc>
      </w:tr>
      <w:tr w:rsidR="00ED7F17" w:rsidTr="00274256">
        <w:trPr>
          <w:trHeight w:val="162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2.1</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Разработка Положения о Системе внутреннего контроля качества медицинской помощи пациентам с ССЗ на основе критериев качества медицинской помощи и клинических рекомендаций</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01.09.2019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01.10.2019</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МЗ АО, главные врачи МО АО, Представители ФОМС, СМО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Положение о Системе внутреннего контроля качества медицинской помощи пациентам с ССЗ на основе критериев качества медицинской помощи и клинических рекомендаций</w:t>
            </w:r>
          </w:p>
        </w:tc>
      </w:tr>
      <w:tr w:rsidR="00ED7F17" w:rsidTr="00274256">
        <w:trPr>
          <w:trHeight w:val="162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2.1.1.</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Внедрение системы внутреннего контроля качества медицинской помощи пациентам с ССЗ на основе критериев качества медицинской помощи и клинических рекомендаций</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01.10.2019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31.12.2019</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МЗ АО, главные врачи МО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Отчет об издании приказа и положения о Системе внутреннего контроля качества медицинской помощи пациентам с ССЗ на основе критериев качества медицинской помощи и клинических рекомендаций в каждой МО АО</w:t>
            </w:r>
          </w:p>
        </w:tc>
      </w:tr>
      <w:tr w:rsidR="00ED7F17" w:rsidTr="00274256">
        <w:trPr>
          <w:trHeight w:val="162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2.1.2.</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Разработка чек-листов отчетности МО АО перед МЗ АО о деятельности системы внутреннего контроля качества медицинской помощи пациентам с ССЗ на основе критериев качества медицинской помощи и клинических рекомендаций</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01.09.2019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31.12.2019</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МЗ АО, главные врачи МО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Разработаны чек-листы (по профилям неврология и кардиология) отчетности МО АО перед МЗ АО деятельности системы внутреннего контроля качества медицинской помощи пациентам с ССЗ на основе критериев качества медицинской помощи и клинических рекомендаций</w:t>
            </w:r>
          </w:p>
        </w:tc>
      </w:tr>
      <w:tr w:rsidR="00ED7F17" w:rsidTr="00274256">
        <w:trPr>
          <w:trHeight w:val="162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2.1.3.</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Мониторинг деятельности системы внутреннего контроля качества медицинской помощи пациентам с ССЗ на основе критериев качества медицинской помощи и клинических рекомендаций</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01.01.2020</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Главные врачи МО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Предоставление ежемесячных сводных отчетов в МЗ АО на основании чек-листов отчетности</w:t>
            </w:r>
          </w:p>
          <w:p w:rsidR="00ED7F17" w:rsidRDefault="00ED7F17" w:rsidP="006F7358">
            <w:pPr>
              <w:jc w:val="both"/>
            </w:pPr>
            <w:r>
              <w:rPr>
                <w:color w:val="000000"/>
              </w:rPr>
              <w:t>Внедрение в 100% МО АО, осуществляющих профильную помощь пациентам с ССЗ</w:t>
            </w:r>
          </w:p>
        </w:tc>
      </w:tr>
      <w:tr w:rsidR="00ED7F17" w:rsidTr="00274256">
        <w:trPr>
          <w:trHeight w:val="162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2.2.</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t>Разработка и утверждение перечня показателей результативности работы МО АО в части выявления и наблюдения граждан с высоким риском развития осложнений ССЗ.</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01.08.2019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01.09.2019</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МЗ АО,</w:t>
            </w:r>
          </w:p>
          <w:p w:rsidR="00ED7F17" w:rsidRDefault="00ED7F17" w:rsidP="006F7358">
            <w:pPr>
              <w:jc w:val="both"/>
              <w:rPr>
                <w:color w:val="000000"/>
              </w:rPr>
            </w:pPr>
          </w:p>
          <w:p w:rsidR="00ED7F17" w:rsidRDefault="00ED7F17" w:rsidP="006F7358">
            <w:pPr>
              <w:jc w:val="both"/>
            </w:pPr>
            <w:r>
              <w:rPr>
                <w:color w:val="000000"/>
              </w:rPr>
              <w:t>Главные внештатные специалисты МЗ АО,</w:t>
            </w:r>
          </w:p>
          <w:p w:rsidR="00ED7F17" w:rsidRDefault="00ED7F17" w:rsidP="006F7358">
            <w:pPr>
              <w:jc w:val="both"/>
            </w:pPr>
            <w:r>
              <w:rPr>
                <w:color w:val="000000"/>
              </w:rPr>
              <w:t>Главные врачи МО АО,</w:t>
            </w:r>
          </w:p>
          <w:p w:rsidR="00ED7F17" w:rsidRDefault="00ED7F17" w:rsidP="006F7358">
            <w:pPr>
              <w:jc w:val="both"/>
              <w:rPr>
                <w:color w:val="000000"/>
              </w:rPr>
            </w:pP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t>Перечень показателей результативности работы МО АО в части выявления и наблюдения граждан с высоким риском развития осложнений ССЗ.</w:t>
            </w:r>
          </w:p>
        </w:tc>
      </w:tr>
      <w:tr w:rsidR="00ED7F17" w:rsidTr="00274256">
        <w:trPr>
          <w:trHeight w:val="1090"/>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2.2.1.</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t>Применение индикаторных показателей при оценке и анализе результатов деятельности МО АО</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 xml:space="preserve">31.12.2024 </w:t>
            </w:r>
            <w:r>
              <w:rPr>
                <w:color w:val="000000"/>
                <w:lang w:val="en-US"/>
              </w:rPr>
              <w:t>(</w:t>
            </w:r>
            <w:r>
              <w:rPr>
                <w:color w:val="000000"/>
              </w:rPr>
              <w:t>ежеквартально)</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МЗ АО,Главные врачи МО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 xml:space="preserve">Аналитическая справка МЗ АО о результате анализа </w:t>
            </w:r>
            <w:r>
              <w:t>применения индикаторных показателей, принятие управленческих решений</w:t>
            </w:r>
          </w:p>
        </w:tc>
      </w:tr>
      <w:tr w:rsidR="00ED7F17" w:rsidTr="00274256">
        <w:trPr>
          <w:trHeight w:val="162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2.3.</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Деятельность Экспертного Совета МЗ АО</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01.09.2019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МЗ АО, главные врачи МО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snapToGrid w:val="0"/>
              <w:jc w:val="both"/>
              <w:rPr>
                <w:b/>
                <w:bCs/>
                <w:color w:val="000000"/>
              </w:rPr>
            </w:pPr>
          </w:p>
        </w:tc>
      </w:tr>
      <w:tr w:rsidR="00ED7F17" w:rsidTr="00274256">
        <w:trPr>
          <w:trHeight w:val="162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2.3.1.</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Создание Экспертного Совета МЗ АО для решения вопросов организации медицинской помощи пациентам с ССЗ, в том числе для разбора сложных и запущенных клинических случаев, определения участия МО АО при оказании медицинской помощи у тяжелых коморбидных пациентов и рассмотрения иных ситуаций, требующих коллегиального и/или межведомственного решения.</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01.09.2019</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МЗ АО, главные внештатные специалисты</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Распоряжение о создании Экспертного Совета МЗ АО.</w:t>
            </w:r>
          </w:p>
          <w:p w:rsidR="00ED7F17" w:rsidRDefault="00ED7F17" w:rsidP="006F7358">
            <w:pPr>
              <w:jc w:val="both"/>
            </w:pPr>
            <w:r>
              <w:rPr>
                <w:color w:val="000000"/>
              </w:rPr>
              <w:t>Положение об Экспертном Совете МЗ АО</w:t>
            </w:r>
          </w:p>
        </w:tc>
      </w:tr>
      <w:tr w:rsidR="00ED7F17" w:rsidTr="00274256">
        <w:trPr>
          <w:trHeight w:val="162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2.3.2.</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Разбор сложных и запущенных случаев ССЗ на Экспертном Совете МЗ АО с формированием заключения и с последующей трансляцией результатов в общую лечебную сеть.</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01.09.2019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МЗ АО, главные внештатные специалисты МЗ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Ежемесячный разбор клинических случаев</w:t>
            </w:r>
          </w:p>
        </w:tc>
      </w:tr>
      <w:tr w:rsidR="00ED7F17" w:rsidTr="00274256">
        <w:trPr>
          <w:trHeight w:val="162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2.3.3.</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Проведение заседаний Экспертного Совета для решения сложных (спорных) вопрос организации медицинской помощи пациентам с ССЗ.</w:t>
            </w:r>
          </w:p>
          <w:p w:rsidR="00ED7F17" w:rsidRDefault="00ED7F17" w:rsidP="006F7358">
            <w:pPr>
              <w:jc w:val="both"/>
            </w:pPr>
            <w:r>
              <w:rPr>
                <w:color w:val="000000"/>
              </w:rPr>
              <w:t>Принятие управленческих решений на основе анализа деятельности Экспертного Совета МЗ АО</w:t>
            </w:r>
            <w:r>
              <w:t xml:space="preserve"> </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01.09.2019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МЗ АО, главные внештатные специалисты МЗ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Ежеквартальный отчет МЗ АО о результатах деятельности Экспертного Совета МЗ АО с принятием управленческих решений</w:t>
            </w:r>
          </w:p>
        </w:tc>
      </w:tr>
      <w:tr w:rsidR="00ED7F17" w:rsidTr="00274256">
        <w:trPr>
          <w:trHeight w:val="162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snapToGrid w:val="0"/>
              <w:jc w:val="both"/>
            </w:pPr>
            <w:r>
              <w:rPr>
                <w:iCs/>
                <w:color w:val="000000"/>
              </w:rPr>
              <w:t>2.4.</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t>Разработать и внедрить регистры:</w:t>
            </w:r>
          </w:p>
          <w:p w:rsidR="00ED7F17" w:rsidRDefault="00ED7F17" w:rsidP="006F7358">
            <w:pPr>
              <w:jc w:val="both"/>
            </w:pPr>
            <w:r>
              <w:t>- больных с ОНМК:</w:t>
            </w:r>
          </w:p>
          <w:p w:rsidR="00ED7F17" w:rsidRDefault="00ED7F17" w:rsidP="006F7358">
            <w:pPr>
              <w:jc w:val="both"/>
            </w:pPr>
            <w:r>
              <w:t>- больных с ХСН</w:t>
            </w:r>
          </w:p>
          <w:p w:rsidR="00ED7F17" w:rsidRDefault="00ED7F17" w:rsidP="006F7358">
            <w:pPr>
              <w:jc w:val="both"/>
            </w:pPr>
            <w:r>
              <w:t>- больных ССЗ, перенесших высокотехнологичные операции</w:t>
            </w:r>
          </w:p>
          <w:p w:rsidR="00ED7F17" w:rsidRDefault="00ED7F17" w:rsidP="006F7358">
            <w:pPr>
              <w:jc w:val="both"/>
              <w:rPr>
                <w:color w:val="000000"/>
              </w:rPr>
            </w:pP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31.12.2019.</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Ответственный исполнитель МЗ АО</w:t>
            </w:r>
          </w:p>
          <w:p w:rsidR="00ED7F17" w:rsidRDefault="00ED7F17" w:rsidP="006F7358">
            <w:pPr>
              <w:jc w:val="both"/>
            </w:pPr>
            <w:r>
              <w:rPr>
                <w:color w:val="000000"/>
              </w:rPr>
              <w:t>Исполнители</w:t>
            </w:r>
          </w:p>
          <w:p w:rsidR="00ED7F17" w:rsidRDefault="00ED7F17" w:rsidP="006F7358">
            <w:pPr>
              <w:jc w:val="both"/>
            </w:pPr>
            <w:r>
              <w:rPr>
                <w:color w:val="000000"/>
              </w:rPr>
              <w:t>Главные внештатные специалисты МЗ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Внедрение регистров больных с ОНМК, с ХСН, больных, перенесших высокотехнологичные операции</w:t>
            </w:r>
          </w:p>
        </w:tc>
      </w:tr>
      <w:tr w:rsidR="00ED7F17" w:rsidTr="00274256">
        <w:trPr>
          <w:trHeight w:val="162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snapToGrid w:val="0"/>
              <w:jc w:val="both"/>
            </w:pPr>
            <w:r>
              <w:rPr>
                <w:iCs/>
                <w:color w:val="000000"/>
              </w:rPr>
              <w:t>2.5.</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t>Ведение регистров больных с ХСН, ОНМК, больных ССЗ, перенесших высокотехнологичные операции</w:t>
            </w:r>
          </w:p>
          <w:p w:rsidR="00ED7F17" w:rsidRDefault="00ED7F17" w:rsidP="006F7358">
            <w:pPr>
              <w:jc w:val="both"/>
            </w:pP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01.01.2020</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Главные врачи МО АО, Главные внештатные специалисты МЗ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Ежемесячный анализ качества оказания медицинской помощи пациентам с ССЗ</w:t>
            </w:r>
          </w:p>
        </w:tc>
      </w:tr>
      <w:tr w:rsidR="00ED7F17" w:rsidTr="00274256">
        <w:trPr>
          <w:trHeight w:val="162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snapToGrid w:val="0"/>
              <w:jc w:val="both"/>
            </w:pPr>
            <w:r>
              <w:rPr>
                <w:iCs/>
                <w:color w:val="000000"/>
              </w:rPr>
              <w:t>2.6.</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t>Продолжить ведение регистров больных с ОКС, легочной гипертензией</w:t>
            </w:r>
          </w:p>
          <w:p w:rsidR="00ED7F17" w:rsidRDefault="00ED7F17" w:rsidP="006F7358">
            <w:pPr>
              <w:jc w:val="both"/>
            </w:pP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Главные врачи МО, Главные внештатные специалисты</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3" w:type="dxa"/>
            </w:tcMar>
          </w:tcPr>
          <w:p w:rsidR="00ED7F17" w:rsidRDefault="00ED7F17" w:rsidP="006F7358">
            <w:pPr>
              <w:jc w:val="both"/>
            </w:pPr>
            <w:r>
              <w:rPr>
                <w:color w:val="000000"/>
              </w:rPr>
              <w:t>Ежемесячный анализ качества оказания медицинской помощи пациентам с ССЗ</w:t>
            </w:r>
          </w:p>
        </w:tc>
      </w:tr>
      <w:tr w:rsidR="00ED7F17" w:rsidTr="00274256">
        <w:trPr>
          <w:trHeight w:val="57"/>
          <w:jc w:val="right"/>
        </w:trPr>
        <w:tc>
          <w:tcPr>
            <w:tcW w:w="15493" w:type="dxa"/>
            <w:gridSpan w:val="19"/>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rPr>
                <w:b/>
                <w:bCs/>
                <w:color w:val="000000"/>
              </w:rPr>
            </w:pPr>
            <w:r>
              <w:rPr>
                <w:b/>
                <w:bCs/>
                <w:color w:val="000000"/>
              </w:rPr>
              <w:t>3. Мероприятия по работе с факторами риска развития сердечно –сосудистых заболеваний</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3.1.</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Организация волонтерского движения с привлечением обучающихся ВУЗов и СУЗов, пропагандирующего здоровый образ жизни; проведение мероприятий, направленных на выявление и предотвращение факторов риска развития ССЗ.</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01.09.2019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 xml:space="preserve">ГБУЗ АО «ЦМП», </w:t>
            </w:r>
          </w:p>
          <w:p w:rsidR="00ED7F17" w:rsidRDefault="00ED7F17" w:rsidP="006F7358">
            <w:pPr>
              <w:jc w:val="both"/>
            </w:pPr>
            <w:r>
              <w:t>центры здоровья, отделения и кабинеты медицинской профилактики МО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Увеличение числа обученных волонтеров (до 120 чел.); создание единого профилактического пространства</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3.2.</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 xml:space="preserve">Обеспечение и контроль эффективности деятельности школ здоровья кардиологического профиля, совместно со школами сахарного диабета в  медицинских организациях, оказывающих первичную медико-санитарную помощь (далее- ПМСП) населению Астраханской области. </w:t>
            </w:r>
          </w:p>
          <w:p w:rsidR="00ED7F17" w:rsidRDefault="00ED7F17" w:rsidP="006F7358">
            <w:pPr>
              <w:jc w:val="both"/>
            </w:pPr>
          </w:p>
          <w:p w:rsidR="00ED7F17" w:rsidRDefault="00ED7F17" w:rsidP="006F7358">
            <w:pPr>
              <w:jc w:val="both"/>
            </w:pP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01.09.2019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МЗ АО, главные врачи МО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Повышение грамотности в вопросах первичной профилактики неинфекционных заболеваний (далее - НИЗ) и формирование системы мотивации к здоровому образу жизни (далее- ЗОЖ) у населения Астраханской области</w:t>
            </w:r>
          </w:p>
          <w:p w:rsidR="00ED7F17" w:rsidRDefault="00ED7F17" w:rsidP="006F7358">
            <w:pPr>
              <w:jc w:val="both"/>
            </w:pPr>
            <w:r>
              <w:t>Увеличение количества пациентов, обученных в школах здоровья: «Школа для пациентов с артериальной гипертензией» (14000 чел.) и «Школа для пациентов с сердечной недостаточностью» (7000 чел.)</w:t>
            </w:r>
          </w:p>
        </w:tc>
      </w:tr>
      <w:tr w:rsidR="00ED7F17" w:rsidTr="00274256">
        <w:trPr>
          <w:trHeight w:val="57"/>
          <w:jc w:val="right"/>
        </w:trPr>
        <w:tc>
          <w:tcPr>
            <w:tcW w:w="1119" w:type="dxa"/>
            <w:gridSpan w:val="2"/>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3.2.1.</w:t>
            </w:r>
          </w:p>
        </w:tc>
        <w:tc>
          <w:tcPr>
            <w:tcW w:w="4241" w:type="dxa"/>
            <w:gridSpan w:val="4"/>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Создание и расширение практики работы школ здоровья для больных с артериальной гипертензией, ишемической болезнью сердца, инсультом, сахарным диабетом в медицинских организациях, оказывающих ПМСП населению Астраханской области.</w:t>
            </w:r>
          </w:p>
        </w:tc>
        <w:tc>
          <w:tcPr>
            <w:tcW w:w="1322" w:type="dxa"/>
            <w:gridSpan w:val="3"/>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01.09.2019</w:t>
            </w:r>
          </w:p>
        </w:tc>
        <w:tc>
          <w:tcPr>
            <w:tcW w:w="1515" w:type="dxa"/>
            <w:gridSpan w:val="2"/>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31.12.2019</w:t>
            </w:r>
          </w:p>
        </w:tc>
        <w:tc>
          <w:tcPr>
            <w:tcW w:w="2614" w:type="dxa"/>
            <w:gridSpan w:val="3"/>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МЗ АО, главные врачи МО АО</w:t>
            </w:r>
          </w:p>
        </w:tc>
        <w:tc>
          <w:tcPr>
            <w:tcW w:w="4682" w:type="dxa"/>
            <w:gridSpan w:val="5"/>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Повышение грамотности в вопросах первичной профилактики неинфекционных заболеваний (далее - НИЗ) и формирование системы мотивации к здоровому образу жизни (далее- ЗОЖ) у населения Астраханской области</w:t>
            </w:r>
          </w:p>
        </w:tc>
      </w:tr>
      <w:tr w:rsidR="00ED7F17" w:rsidTr="00274256">
        <w:trPr>
          <w:trHeight w:val="57"/>
          <w:jc w:val="right"/>
        </w:trPr>
        <w:tc>
          <w:tcPr>
            <w:tcW w:w="1119" w:type="dxa"/>
            <w:gridSpan w:val="2"/>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3.2.1.1.</w:t>
            </w:r>
          </w:p>
        </w:tc>
        <w:tc>
          <w:tcPr>
            <w:tcW w:w="4241" w:type="dxa"/>
            <w:gridSpan w:val="4"/>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Совершенствование работы школ для пациентов: «Артериальная гипертензия», «Хроническая сердечная недостаточность», Школа для пациентов и их родственников, перенесших ОНМК</w:t>
            </w:r>
          </w:p>
        </w:tc>
        <w:tc>
          <w:tcPr>
            <w:tcW w:w="1322" w:type="dxa"/>
            <w:gridSpan w:val="3"/>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01.01.2019</w:t>
            </w:r>
          </w:p>
        </w:tc>
        <w:tc>
          <w:tcPr>
            <w:tcW w:w="1515" w:type="dxa"/>
            <w:gridSpan w:val="2"/>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31.12.2024</w:t>
            </w:r>
          </w:p>
        </w:tc>
        <w:tc>
          <w:tcPr>
            <w:tcW w:w="2614" w:type="dxa"/>
            <w:gridSpan w:val="3"/>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Главные врачи МО, на базе которых функционируют Центры здоровья и кабинеты медицинской профилактики.</w:t>
            </w:r>
          </w:p>
        </w:tc>
        <w:tc>
          <w:tcPr>
            <w:tcW w:w="4682" w:type="dxa"/>
            <w:gridSpan w:val="5"/>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Проведено не менее 1 школы в неделю в каждой медицинской организации амбулаторно-поликлинического этапа, в том числе в рамках работы выездных бригад и кураторских выездов.</w:t>
            </w:r>
          </w:p>
        </w:tc>
      </w:tr>
      <w:tr w:rsidR="00ED7F17" w:rsidTr="00274256">
        <w:trPr>
          <w:trHeight w:val="57"/>
          <w:jc w:val="right"/>
        </w:trPr>
        <w:tc>
          <w:tcPr>
            <w:tcW w:w="1119" w:type="dxa"/>
            <w:gridSpan w:val="2"/>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3.2.2</w:t>
            </w:r>
          </w:p>
        </w:tc>
        <w:tc>
          <w:tcPr>
            <w:tcW w:w="4241" w:type="dxa"/>
            <w:gridSpan w:val="4"/>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Разработка и утверждение перечня показателей результативности работы медицинской организации в части выявления и наблюдения граждан с факторами риска ССЗ</w:t>
            </w:r>
          </w:p>
        </w:tc>
        <w:tc>
          <w:tcPr>
            <w:tcW w:w="1322" w:type="dxa"/>
            <w:gridSpan w:val="3"/>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01.09.2019</w:t>
            </w:r>
          </w:p>
        </w:tc>
        <w:tc>
          <w:tcPr>
            <w:tcW w:w="1515" w:type="dxa"/>
            <w:gridSpan w:val="2"/>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31.12.2019</w:t>
            </w:r>
          </w:p>
        </w:tc>
        <w:tc>
          <w:tcPr>
            <w:tcW w:w="2614" w:type="dxa"/>
            <w:gridSpan w:val="3"/>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МЗ АО, главные внештатные специалисты МЗ АО</w:t>
            </w:r>
          </w:p>
        </w:tc>
        <w:tc>
          <w:tcPr>
            <w:tcW w:w="4682" w:type="dxa"/>
            <w:gridSpan w:val="5"/>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Повышение грамотности в вопросах первичной профилактики неинфекционных заболеваний (далее - НИЗ) и формирование системы мотивации к здоровому образу жизни (далее- ЗОЖ) у населения Астраханской области</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3.2.3.</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Привлечение пациентов, находящихся на диспансерном наблюдении с ССЗ, в работу школ здоровья соответствующего профиля.</w:t>
            </w:r>
          </w:p>
          <w:p w:rsidR="00ED7F17" w:rsidRDefault="00ED7F17" w:rsidP="006F7358">
            <w:pPr>
              <w:jc w:val="both"/>
            </w:pPr>
            <w:r>
              <w:t>Создание школ для родственников больных, которые имели ССЗ, особенно случаи инфаркта, нарушений мозгового кровообращения, внезапной смерти</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01.09.2019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ГБУЗ АО «ЦМП»,</w:t>
            </w:r>
          </w:p>
          <w:p w:rsidR="00ED7F17" w:rsidRDefault="00ED7F17" w:rsidP="006F7358">
            <w:pPr>
              <w:jc w:val="both"/>
            </w:pPr>
            <w:r>
              <w:t>главные врачи МО АО</w:t>
            </w:r>
          </w:p>
          <w:p w:rsidR="00ED7F17" w:rsidRDefault="00ED7F17" w:rsidP="006F7358">
            <w:pPr>
              <w:jc w:val="both"/>
            </w:pP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80% пациентов, находящихся на диспансерном наблюдении с ССЗ, прошли школы здоровья.</w:t>
            </w:r>
          </w:p>
          <w:p w:rsidR="00ED7F17" w:rsidRDefault="00ED7F17" w:rsidP="006F7358">
            <w:pPr>
              <w:jc w:val="both"/>
            </w:pPr>
            <w:r>
              <w:t>В медицинских организациях созданы школы для родственников больных, перенесших инсульт и инфаркт</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3.3.</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Повышение квалификации медицинских специалистов Астраханской области по вопросам первичной профилактики ССЗ.</w:t>
            </w:r>
          </w:p>
          <w:p w:rsidR="00ED7F17" w:rsidRDefault="00ED7F17" w:rsidP="006F7358">
            <w:pPr>
              <w:jc w:val="both"/>
            </w:pPr>
            <w:r>
              <w:t>Внедрение блока первичной профилактики ССЗ в программу обучения студентов ГБУ «ПОО «Астраханский базовый медицинский колледж» и ФГБОУ ВО «Астраханский государственный медицинский университет».</w:t>
            </w:r>
          </w:p>
          <w:p w:rsidR="00ED7F17" w:rsidRDefault="00ED7F17" w:rsidP="006F7358">
            <w:pPr>
              <w:jc w:val="both"/>
            </w:pPr>
            <w:r>
              <w:t>Усовершенствование образовательных программ по первичной профилактике ССЗ.</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31.12.2019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МЗ АО,  ФГБОУ ВО «Астраханский государственный медицинский университет» Минздрава России, ГБУ «ПОО «Астраханский базовый медицинский колледж»</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Увеличение удельного веса лиц в регионе (к 2024 году до 60%), приверженных к ведению здорового образа жизни; повышение эффективности диспансеризации.</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3.4.</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Разработка для работодателей типовых корпоративных программ, содержащих наилучшие практики по укреплению здоровья работников.</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01.09.2019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bCs/>
              </w:rPr>
              <w:t>МЗ АО,</w:t>
            </w:r>
          </w:p>
          <w:p w:rsidR="00ED7F17" w:rsidRDefault="00ED7F17" w:rsidP="006F7358">
            <w:pPr>
              <w:jc w:val="both"/>
            </w:pPr>
            <w:r>
              <w:rPr>
                <w:bCs/>
              </w:rPr>
              <w:t>главный внештатный специалист по медицинской профилактике,</w:t>
            </w:r>
          </w:p>
          <w:p w:rsidR="00ED7F17" w:rsidRDefault="00ED7F17" w:rsidP="006F7358">
            <w:pPr>
              <w:jc w:val="both"/>
            </w:pPr>
            <w:r>
              <w:rPr>
                <w:bCs/>
              </w:rPr>
              <w:t>МЗ АО,</w:t>
            </w:r>
          </w:p>
          <w:p w:rsidR="00ED7F17" w:rsidRDefault="00ED7F17" w:rsidP="006F7358">
            <w:pPr>
              <w:jc w:val="both"/>
            </w:pPr>
            <w:r>
              <w:rPr>
                <w:bCs/>
              </w:rPr>
              <w:t>главные врачи МО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Внедрены корпоративные программы, содержащие наилучшие практики по укреплению здоровья работников в муниципальных образованиях Астраханской области</w:t>
            </w:r>
          </w:p>
          <w:p w:rsidR="00ED7F17" w:rsidRDefault="00ED7F17" w:rsidP="006F7358">
            <w:pPr>
              <w:jc w:val="both"/>
            </w:pPr>
            <w:r>
              <w:t xml:space="preserve">В 3 МО (20%) -01.01.2020 </w:t>
            </w:r>
          </w:p>
          <w:p w:rsidR="00ED7F17" w:rsidRDefault="00ED7F17" w:rsidP="006F7358">
            <w:pPr>
              <w:jc w:val="both"/>
            </w:pPr>
            <w:r>
              <w:t>В 6 МО (40%) -01.03.2021</w:t>
            </w:r>
          </w:p>
          <w:p w:rsidR="00ED7F17" w:rsidRDefault="00ED7F17" w:rsidP="006F7358">
            <w:pPr>
              <w:jc w:val="both"/>
            </w:pPr>
            <w:r>
              <w:t xml:space="preserve">В 8 МО (60%) -01.03.2022 </w:t>
            </w:r>
          </w:p>
          <w:p w:rsidR="00ED7F17" w:rsidRDefault="00ED7F17" w:rsidP="006F7358">
            <w:pPr>
              <w:jc w:val="both"/>
            </w:pPr>
            <w:r>
              <w:t>В 11МО (80%)-01.01.2020</w:t>
            </w:r>
          </w:p>
          <w:p w:rsidR="00ED7F17" w:rsidRDefault="00ED7F17" w:rsidP="006F7358">
            <w:pPr>
              <w:jc w:val="both"/>
            </w:pPr>
            <w:r>
              <w:t>В 13 МО (100%)-31.12.2024</w:t>
            </w:r>
          </w:p>
          <w:p w:rsidR="00ED7F17" w:rsidRDefault="00ED7F17" w:rsidP="006F7358">
            <w:pPr>
              <w:jc w:val="both"/>
            </w:pP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3.5.</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Организация и проведение ежегодных конкурсов проектов некоммерческих организаций (НКО) и волонтерских движений по профилактике НИЗ и формированию здорового образа жизни</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01.09.2019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bCs/>
              </w:rPr>
              <w:t>МЗ АО, ГБУЗ АО «ЦМП»</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Лучшие проекты некоммерческих организаций и волонтерских движений по профилактике НИЗ и формированию ЗОЖ размещены на официальном сайте МЗ АО и внедрены в работу.</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3.6.</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Обучение врачей и средних медицинских работников выявлению и профилактике факторов риска ССЗ, методике диспансерного наблюдения больных артериальной гипертонией, ишемической болезни сердца, перенесших инфаркт миокарда и инсульт (выездные семинары, мастер – классы, областные семинары, научно-практические конференции и другие мероприятия, направленные на снижение смертности от болезней системы кровообращения).</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01.09.2019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bCs/>
              </w:rPr>
              <w:t>МЗ АО,  главные внештатные специалисты МЗ АО:  кардиолог,</w:t>
            </w:r>
          </w:p>
          <w:p w:rsidR="00ED7F17" w:rsidRDefault="00ED7F17" w:rsidP="006F7358">
            <w:pPr>
              <w:jc w:val="both"/>
            </w:pPr>
            <w:r>
              <w:rPr>
                <w:bCs/>
              </w:rPr>
              <w:t>по медицинской профилактике,  терапевт, невролог</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Повышение уровня профессиональных знаний в области профилактики НИЗ и формированию ЗОЖ</w:t>
            </w:r>
          </w:p>
          <w:p w:rsidR="00ED7F17" w:rsidRDefault="00ED7F17" w:rsidP="006F7358">
            <w:pPr>
              <w:jc w:val="both"/>
            </w:pPr>
            <w:r>
              <w:t>Повышение доли охвата больных ССЗ диспансерным наблюдением</w:t>
            </w:r>
          </w:p>
          <w:p w:rsidR="00ED7F17" w:rsidRDefault="00ED7F17" w:rsidP="006F7358">
            <w:pPr>
              <w:jc w:val="both"/>
            </w:pPr>
            <w:r>
              <w:t>Повышение качества организации проведения расширенного профилактического консультирования</w:t>
            </w:r>
          </w:p>
          <w:p w:rsidR="00ED7F17" w:rsidRDefault="00ED7F17" w:rsidP="006F7358">
            <w:pPr>
              <w:jc w:val="both"/>
            </w:pPr>
            <w:r>
              <w:t>Повышение доли пациентов с ССЗ, приверженных к лечению</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3.7.</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Проведение обучающих семинаров для врачей терапевтов и кардиологов по ведению больных:</w:t>
            </w:r>
          </w:p>
          <w:p w:rsidR="00ED7F17" w:rsidRDefault="00ED7F17" w:rsidP="006F7358">
            <w:pPr>
              <w:jc w:val="both"/>
            </w:pPr>
            <w:r>
              <w:t>- высокого сердечно-сосудистого риска,</w:t>
            </w:r>
          </w:p>
          <w:p w:rsidR="00ED7F17" w:rsidRDefault="00ED7F17" w:rsidP="006F7358">
            <w:pPr>
              <w:jc w:val="both"/>
            </w:pPr>
            <w:r>
              <w:t>- перенесших инфаркт миокарда,</w:t>
            </w:r>
          </w:p>
          <w:p w:rsidR="00ED7F17" w:rsidRDefault="00ED7F17" w:rsidP="006F7358">
            <w:pPr>
              <w:jc w:val="both"/>
            </w:pPr>
            <w:r>
              <w:t>- с хронической сердечной недостаточностью</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01.09.2019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bCs/>
              </w:rPr>
              <w:t>МЗ АО, главный внештатный кардиолог МЗ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Повышение уровня профессиональных знаний в области профилактики неинфекционных заболеваний и формированию ЗОЖ</w:t>
            </w:r>
          </w:p>
          <w:p w:rsidR="00ED7F17" w:rsidRDefault="00ED7F17" w:rsidP="006F7358">
            <w:pPr>
              <w:jc w:val="both"/>
            </w:pPr>
            <w:r>
              <w:t>Повышение качества организации проведения расширенного профилактического консультирования</w:t>
            </w:r>
          </w:p>
          <w:p w:rsidR="00ED7F17" w:rsidRDefault="00ED7F17" w:rsidP="006F7358">
            <w:pPr>
              <w:jc w:val="both"/>
            </w:pPr>
            <w:r>
              <w:t>Повышение доли пациентов с ССЗ, приверженных к лечению</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3.8.</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Организация и проведение эпидемиологического мониторинга факторов риска развития заболеваний сердечно-сосудистой системы и мониторинга эффективности мероприятий профилактики ССЗ в Астраханской области</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01.09.2019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МЗ АО, главный внештатный специалист по медицинской профилактике главные врачи МО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bCs/>
              </w:rPr>
              <w:t>Изучена информированность населения; проведена оценка и коррекция профилактических программ и проектов по профилактике развития ССЗ</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3.9.</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Разработка мероприятий по межведомственному взаимодействию с органами социальной защиты, пенсионного обеспечения, религиозными и иными общественными организациями, волонтерским движением по вопросам сотрудничества по формированию ЗОЖ среди населения Астраханской области.</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 xml:space="preserve">МЗ АО, главные врачи МО АО совместно </w:t>
            </w:r>
          </w:p>
          <w:p w:rsidR="00ED7F17" w:rsidRDefault="00ED7F17" w:rsidP="006F7358">
            <w:pPr>
              <w:jc w:val="both"/>
            </w:pPr>
            <w:r>
              <w:t>министерством культуры и туризма АО,</w:t>
            </w:r>
          </w:p>
          <w:p w:rsidR="00ED7F17" w:rsidRDefault="00ED7F17" w:rsidP="006F7358">
            <w:pPr>
              <w:jc w:val="both"/>
            </w:pPr>
            <w:r>
              <w:t>министерство социального развития  и труда АО, министерством образования и науки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Увеличение удельного веса лиц в регионе (к 2024 году до 80%), приверженных к ЗОЖ, демонстрирующих ответственное отношение к своему здоровью.</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3.10.</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Реализация лекторских программ мероприятий в целевых аудиториях и проектов по пропаганде здорового образа жизни и первичной профилактике ССЗ в целях обучения медицинских работников, специалистов социальной сферы, педагогов, работников культуры</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 xml:space="preserve">МЗ АО, главные врачи МО АО совместно </w:t>
            </w:r>
          </w:p>
          <w:p w:rsidR="00ED7F17" w:rsidRDefault="00ED7F17" w:rsidP="006F7358">
            <w:pPr>
              <w:jc w:val="both"/>
            </w:pPr>
            <w:r>
              <w:t>министерством культуры и туризма АО,</w:t>
            </w:r>
          </w:p>
          <w:p w:rsidR="00ED7F17" w:rsidRDefault="00ED7F17" w:rsidP="006F7358">
            <w:pPr>
              <w:jc w:val="both"/>
            </w:pPr>
            <w:r>
              <w:t>министерством социального развития  и труда АО, министерством образования и науки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Формирование единого профилактического пространства и системы мотивации к здоровому образу жизни у населения Астраханской области</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3.11.</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Организация и проведение массовых тематических акций, праздников и спартакиад здоровья в образовательных учреждениях</w:t>
            </w:r>
          </w:p>
          <w:p w:rsidR="00ED7F17" w:rsidRDefault="00ED7F17" w:rsidP="006F7358">
            <w:pPr>
              <w:jc w:val="both"/>
            </w:pPr>
            <w:r>
              <w:t>г. Астрахани и Астраханской области среди учащихся, молодежи и студентов:</w:t>
            </w:r>
          </w:p>
          <w:p w:rsidR="00ED7F17" w:rsidRDefault="00ED7F17" w:rsidP="006F7358">
            <w:pPr>
              <w:jc w:val="both"/>
            </w:pPr>
            <w:r>
              <w:t>- «Здоровый регион – здоровая Россия»</w:t>
            </w:r>
          </w:p>
          <w:p w:rsidR="00ED7F17" w:rsidRDefault="00ED7F17" w:rsidP="006F7358">
            <w:pPr>
              <w:jc w:val="both"/>
            </w:pPr>
            <w:r>
              <w:t>- «Студенческий день здоровья»</w:t>
            </w:r>
          </w:p>
          <w:p w:rsidR="00ED7F17" w:rsidRDefault="00ED7F17" w:rsidP="006F7358">
            <w:pPr>
              <w:jc w:val="both"/>
            </w:pPr>
            <w:r>
              <w:t>- «Будь всегда здоров»;</w:t>
            </w:r>
          </w:p>
          <w:p w:rsidR="00ED7F17" w:rsidRDefault="00ED7F17" w:rsidP="006F7358">
            <w:pPr>
              <w:jc w:val="both"/>
            </w:pPr>
            <w:r>
              <w:t>- «Молодежь Астрахани за здоровый образ жизни»;</w:t>
            </w:r>
          </w:p>
          <w:p w:rsidR="00ED7F17" w:rsidRDefault="00ED7F17" w:rsidP="006F7358">
            <w:pPr>
              <w:jc w:val="both"/>
            </w:pPr>
            <w:r>
              <w:t>- «Мы – будущее России»;</w:t>
            </w:r>
          </w:p>
          <w:p w:rsidR="00ED7F17" w:rsidRDefault="00ED7F17" w:rsidP="006F7358">
            <w:pPr>
              <w:jc w:val="both"/>
            </w:pPr>
            <w:r>
              <w:t>- «Курение – удар по сердцу»;</w:t>
            </w:r>
          </w:p>
          <w:p w:rsidR="00ED7F17" w:rsidRDefault="00ED7F17" w:rsidP="006F7358">
            <w:pPr>
              <w:jc w:val="both"/>
            </w:pPr>
            <w:r>
              <w:t>- «Здоровое сердце»,</w:t>
            </w:r>
          </w:p>
          <w:p w:rsidR="00ED7F17" w:rsidRDefault="00ED7F17" w:rsidP="006F7358">
            <w:pPr>
              <w:jc w:val="both"/>
            </w:pPr>
            <w:r>
              <w:t>направленных на пропаганду ЗОЖ и раннее выявление факторов риска развития ССЗ</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 xml:space="preserve"> МЗ АО совместно с министерством образования и науки АО, министерством спорта и физической культуры  АО, министерством культуры и туризма АО, агентством по делам молодежи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Формирование системы мотивации к ЗОЖ у населения Астраханской области, включая здоровое питание, защиту от табачного дыма, снижение потребления алкоголя.</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3.12.</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Создание и трансляция просветительских программ/передач для населения с использованием местных каналов телевидения</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 xml:space="preserve">01.12.2019 </w:t>
            </w:r>
            <w:r>
              <w:rPr>
                <w:color w:val="000000"/>
              </w:rPr>
              <w:br/>
              <w:t>(далее ежегодно)</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 xml:space="preserve"> МЗ АО совместно с представителями средств массовой информации Астраханской области </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Создано и транслировано не менее 10 программ/передач (список с названиями программ/передач и временем трансляции в приложении) ежегодно</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3.13.</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Публикация материалов в местной печати данной тематики</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 xml:space="preserve">01.12.2019 </w:t>
            </w:r>
            <w:r>
              <w:rPr>
                <w:color w:val="000000"/>
              </w:rPr>
              <w:br/>
              <w:t>(далее ежегодно)</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ГБУЗ АО «ЦМП», главные врачи МО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Опубликовано не менее 40 статей по пропаганде ЗОЖ в местной печати (список с названиями статей/материалов и местом/временем публикации в приложении)</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3.14.</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Размещение доступной справочной информации в МО АО о возможности пройти кардиоскрининг, скрининг на наличие факторов риска развития инсульта, диспансеризацию и другие виды профилактических осмотров</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01.12.2019 (далее ежегодно)</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главные врачи МО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Увеличение до 80% охваченных диспансерным наблюдением отдельных групп населения. Увеличение количества граждан, прошедших периодический профилактический осмотр. Своевременное выявление и коррекция факторов риска ССЗ, включая артериальную гипертензию, и снижение риска ее развития. Повышение информированности населения о симптомах острого нарушения мозгового кровообращения и острого коронарного синдрома. Снижение смертности населения, прежде всего трудоспособного возраста, снижение смертности от ССЗ.</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3.15.</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Размещение в поликлиниках Астраханской области информационные стенды с информацией о возможности пройти диспансеризацию, профилактические осмотры, кардиоскрининг, скрининг на наличие факторов риска развития инсульта с указанием кабинетов, расписания приема и других необходимых условий.</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01.12.2019 (далее ежегодно)</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главные врачи МО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100% поликлиник от общего числа поликлиник имеют информационные стенды о возможности пройти диспансеризацию, профилактические осмотры, кардиоскрининг, скрининг на наличие факторов риска развития инсульта</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3.16.</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Регулярное проведение тематических акций, направленных как на пропаганду здорового образа жизни, так и на раннее выявление факторов риска развития ССЗ; например, акции, приуроченные к международному дню отказа от курения (каждый третий четверг ноября), всемирному деню борьбы с курением (31 мая), всемирному деню сердца (29 сентября) , всемирному деню борьбы с инсультом (29 октября) и т.п.,</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01.09.2019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31.12.2024 (далее ежегодно)</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 xml:space="preserve"> МЗ АО, главные врачи МО АО, ГБУЗ АО «ЦМП»</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Создание среды, способствующей ведению гражданами здорового образа жизни, включая повышение физической активности, здоровое питание, защиту от табачного дыма и снижение потребления алкоголя. Создание культа здоровья, как фундаментальной ценности жизни современного человека.</w:t>
            </w:r>
          </w:p>
        </w:tc>
      </w:tr>
      <w:tr w:rsidR="00ED7F17" w:rsidTr="00274256">
        <w:trPr>
          <w:trHeight w:val="57"/>
          <w:jc w:val="right"/>
        </w:trPr>
        <w:tc>
          <w:tcPr>
            <w:tcW w:w="1119" w:type="dxa"/>
            <w:gridSpan w:val="2"/>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3.17.</w:t>
            </w:r>
          </w:p>
        </w:tc>
        <w:tc>
          <w:tcPr>
            <w:tcW w:w="4241" w:type="dxa"/>
            <w:gridSpan w:val="4"/>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Привлечение к профилактической работе волонтёрских организаций «Волонтёры-медики» и иных волонтёрских движений к выездным формам работы.</w:t>
            </w:r>
          </w:p>
        </w:tc>
        <w:tc>
          <w:tcPr>
            <w:tcW w:w="1322" w:type="dxa"/>
            <w:gridSpan w:val="3"/>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01.01.2020</w:t>
            </w:r>
          </w:p>
        </w:tc>
        <w:tc>
          <w:tcPr>
            <w:tcW w:w="1515" w:type="dxa"/>
            <w:gridSpan w:val="2"/>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31.12.2024</w:t>
            </w:r>
          </w:p>
        </w:tc>
        <w:tc>
          <w:tcPr>
            <w:tcW w:w="2614" w:type="dxa"/>
            <w:gridSpan w:val="3"/>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МЗАО ГБУЗ АО «ЦМП»</w:t>
            </w:r>
          </w:p>
        </w:tc>
        <w:tc>
          <w:tcPr>
            <w:tcW w:w="4682" w:type="dxa"/>
            <w:gridSpan w:val="5"/>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Охват 100% районов выездами волонтёров, выполнение волонтёрами профилактического консультирования больных ССЗ.</w:t>
            </w:r>
          </w:p>
        </w:tc>
      </w:tr>
      <w:tr w:rsidR="00ED7F17" w:rsidTr="00274256">
        <w:trPr>
          <w:trHeight w:val="57"/>
          <w:jc w:val="right"/>
        </w:trPr>
        <w:tc>
          <w:tcPr>
            <w:tcW w:w="15493" w:type="dxa"/>
            <w:gridSpan w:val="19"/>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rPr>
                <w:b/>
                <w:color w:val="000000"/>
              </w:rPr>
              <w:t>4. Комплекс мер, направленный на совершенствование системы оказания первичной медико-санитарной помощи при сердечно-сосудистых заболеваниях</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4.1.</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Внедрение программы мероприятий по профилактике ССЗ на территории Астраханской области с ориентиром на выявление и коррекцию модифицируемых факторов риска ССЗ с участием Центров здоровья, отделений и кабинетов медицинской профилактики</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Главный внештатный специалист по общей врачебной практике МЗ АО, главный внештатный специалист по медицинской профилактики МЗ АО, ГБУЗ АО «ЦМП» и главные врачи МЗ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 xml:space="preserve">Разработан и внедрен план мероприятий </w:t>
            </w:r>
            <w:r>
              <w:t>по профилактике ССЗ на территории АО</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4.1.1</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Профилактика ССЗ в группах повышенного риска; выделение группы риска через анкетирование при проведении профилактических осмотров</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01.01.2020</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t>Главный внештатный специалист по общей врачебной практике, ГБУЗ АО «ЦМП»</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Проведено анкетирование, выделены группы риска</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4.1.2</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Просветительская и воспитательная работа среди населения при активном использовании средств массовой информации в пропаганде ЗОЖ: разработка и реализация лекторских программ по пропаганде здорового образа жизни и первичной профилактике ССЗ в целевых аудиториях</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Главные внештатные специалисты МЗ АО: по общей врачебной практике и медицинской профилактике;, ГБУЗ АО «ЦМП»</w:t>
            </w:r>
            <w:r>
              <w:rPr>
                <w:color w:val="000000"/>
              </w:rPr>
              <w:t>,</w:t>
            </w:r>
          </w:p>
          <w:p w:rsidR="00ED7F17" w:rsidRDefault="00ED7F17" w:rsidP="006F7358">
            <w:pPr>
              <w:jc w:val="both"/>
            </w:pPr>
            <w:r>
              <w:rPr>
                <w:color w:val="000000"/>
              </w:rPr>
              <w:t>ФГБОУ ВО «Астраханский государственный медицинский университет» Минздрава России</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 xml:space="preserve">Проведены лекции и круглые столы </w:t>
            </w:r>
            <w:r>
              <w:t>по пропаганде ЗОЖ и первичной профилактике ССЗ в целевых аудиториях</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4.2.</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t>Разработка мероприятий по взаимодействию с министерством труда и социального развития АО, агентством по делам молодежи АО, общественными организациями по вопросам сотрудничества по формированию ответственного отношения граждан к своему здоровью</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МЗ АО, Главные внештатные специалисты МЗ АО: по общей врачебной практике и медицинской профилактике;</w:t>
            </w:r>
          </w:p>
          <w:p w:rsidR="00ED7F17" w:rsidRDefault="00ED7F17" w:rsidP="006F7358">
            <w:pPr>
              <w:jc w:val="both"/>
            </w:pPr>
            <w:r>
              <w:t>ГБУЗ АО «ЦМП;</w:t>
            </w:r>
          </w:p>
          <w:p w:rsidR="00ED7F17" w:rsidRDefault="00ED7F17" w:rsidP="006F7358">
            <w:pPr>
              <w:jc w:val="both"/>
              <w:rPr>
                <w:color w:val="000000"/>
              </w:rPr>
            </w:pP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 xml:space="preserve">Разработан и внедрен план мероприятий по взаимодействию </w:t>
            </w:r>
            <w:r>
              <w:t>министерством труда и социального развития АО, агентством по делам молодежи АО, общественными организациями по вопросам сотрудничества по формированию ответственного отношения граждан к своему здоровью</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4.3</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Разработка, создание и публикация социальных плакатов «Симптомы ОКС/ОНМК»</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01.09.2019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31.12.2024 (ежегодно)</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ГБУЗ АО «ЦМП»</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4.4.</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Размещение информации о симптомах ОКС/ОНМК в общественных местах и транспорте</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01.09.2019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31.12.2024 (ежегодно)</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Главы муниципальных образований Астраханской области и г. Астрахани, министерство транспорта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Размещение социальных плакатов «Симптомы ОКС/ОНМК» на общественном транспорте, баннеры</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4.5.</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Трансляция роликов на региональном телевидении о первых симптомах ОКС/ОНМК, о мерах профилактики ССЗ</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01.09.2019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МЗ АО, ГБУЗ АО «ЦМП», региональное телевидение</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Не менее 1 за 6 месяцев</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4.6.</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Организация школ для родственников пациентов, перенесших инсульт с целью дальнейшей адаптации и социализации пациента</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01.09.2019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Главные врачи МОАО АО, врачи РСЦ и ПСО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Охват обучением в Школах не менее 30% пациентов (родственников) от общего числа пролеченных</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4.7.</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Создание нормативно-правового акта по обеспечению работы системы курирования медицинских организаций, оказывающих первичную медико-санитарную помощь по диспансерному наблюдению пациентов с ССЗ.</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01.09.2019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МЗ АО, ГБУЗ АО «ЦМП», главные врачи МО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Утвержден приказ курирования медицинских организаций, оказывающих первичную медико-санитарную помощь по диспансерному наблюдению пациентов с ССЗ.</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4.8.</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Мероприятия по развитию системы кураторства медицинских организаций, оказывающих первичную медико-санитарную помощь по диспансерному наблюдению пациентов с ССЗ.</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01.09.2019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Главный внештатный кардиолог, невролог, главные врачи МО АО, осуществляющие кураторство над учреждениями первичной медико-санитарной помощи, главные врачи МО АО, оказывающих первичную медико-санитарную помощь,</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Ежеквартально проводится систематический анализ качества и полноты охвата диспансерным наблюдением пациентов высокого риска и с ССЗ врачами-терапевтами, кардиологами, неврологами первичного звена</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4.9.</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Мероприятия по информированию, обучению врачей, фельдшеров и медицинских сестер медицинских организаций, оказывающих первичную медико-санитарную помощь  по вопросам диагностики, маршрутизации, раннего выявления болезней системы кровообращения. Проведение обучающих семинаров.</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01.09.2019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МЗ АО, главные врачи МО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Регулярное проведение обучающих семинаров, круглых столов. Не менее 1 в месяц.</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4.10.</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Проведение врачебных конференций по вопросам кодирования причин смерти, формирования статистической отчетности.</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01.09.2019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главные врачи МО, главные внештатные специалисты: кардиолог, невролог, патологоанатом МЗ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Проведение конференций не реже 1 раза в квартал.</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4.11.</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Мероприятия по обеспечению преемственности между учреждениями экстренной госпитализации пациентов с ССЗ и медицинских организаций, оказывающих первичную медико-санитарную помощь, амбулаторными службами. Создание нового функционала в РИАМС «Промед», обеспечивающего информирование учреждений ПМСП о пациентах, перенесших ОНМК, ОКС и выписанных из стационара</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01.09.2019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31.12.2020</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МЗ АО, ГБУЗ АО «МИАЦ», главные врачи МО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Своевременное информирование учреждений ПМСП о выписке пациентов, нуждающихся в наблюдении на дому после перенесенных ОКС, ОНМК и т.д. Создан единый реестр пациентов, перенесших ОНМК, и реестр пациентов, перенесших ОКС.</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4.11.1.</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Создание единого реестра пациентов, перенесших ОНМК, и реестр пациентов, перенесших ОКС.</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01.09.2019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31.12.2020</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МЗ АО, ГБУЗ АО «МИАЦ», главные врачи МО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Создан единый реестр пациентов, перенесших ОНМК, и реестр пациентов, перенесших ОКС.</w:t>
            </w:r>
          </w:p>
        </w:tc>
      </w:tr>
      <w:tr w:rsidR="00ED7F17" w:rsidTr="00274256">
        <w:trPr>
          <w:trHeight w:val="57"/>
          <w:jc w:val="right"/>
        </w:trPr>
        <w:tc>
          <w:tcPr>
            <w:tcW w:w="15493" w:type="dxa"/>
            <w:gridSpan w:val="19"/>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b/>
                <w:color w:val="000000"/>
              </w:rPr>
              <w:t xml:space="preserve">5. </w:t>
            </w:r>
            <w:r>
              <w:rPr>
                <w:b/>
                <w:bCs/>
                <w:color w:val="000000"/>
              </w:rPr>
              <w:t>Мероприятия по вторичной профилактике осложнений при сердечно-сосудистых заболеваниях.</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5.1.</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 xml:space="preserve">Представление на Экспертный Совет для разбора сложных и запущенных случаев ССЗ с формированием заключения и с последующей трансляцией результатов в  медицинские организации, оказывающие первичную медико-санитарную помощь </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01.09.2019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МЗ АО, главные внештатные специалисты МЗ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Ежемесячный разбор клинических случаев</w:t>
            </w:r>
          </w:p>
        </w:tc>
      </w:tr>
      <w:tr w:rsidR="00ED7F17" w:rsidTr="00274256">
        <w:trPr>
          <w:trHeight w:val="162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5.2.</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Проведение образовательных Региональных обучающих мероприятий для участковых врачей- терапевтов, врачей общей практики, кардиологов и неврологов поликлиник, в том числе при проведении выездной работы по методам ранней диагностики ССЗ и современным возможностям проведения вторичной профилактики, включающим высокотехнологичную специализированную помощь не реже 1 раза в квартал.</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31.12.2020</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МЗ АО,</w:t>
            </w:r>
          </w:p>
          <w:p w:rsidR="00ED7F17" w:rsidRDefault="00ED7F17" w:rsidP="006F7358">
            <w:pPr>
              <w:jc w:val="both"/>
            </w:pPr>
            <w:r>
              <w:t>главные внештатные специалисты МЗ АО, главные врачи МО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Повышение качества оказания медицинской помощи пациентам с ССЗ. Снижение количества непрофильных госпитализаций. Повышение квалификации медицинских работников. Повышение эффективности использования современных высокотехнологичных методов диагностики и лечения, используемых при вторичной профилактике. Рациональное использование медицинского оборудования медицинских учреждений, в том числе в круглосуточном режиме оказания специализированной медицинской помощи.</w:t>
            </w:r>
          </w:p>
        </w:tc>
      </w:tr>
      <w:tr w:rsidR="00ED7F17" w:rsidTr="00274256">
        <w:trPr>
          <w:trHeight w:val="162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5.2.1.</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Утвердить План региональных образовательных мероприятий для участковых врачей- терапевтов, врачей общей практики, кардиологов и неврологов поликлиник, в том числе при проведении выездной работы по методам ранней диагностики ССЗ и современным возможностям проведения вторичной профилактики, включающим высокотехнологичную специализированную помощь.</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31.12.2019 (с ежегодным обновлением)</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МЗ АО</w:t>
            </w:r>
          </w:p>
          <w:p w:rsidR="00ED7F17" w:rsidRDefault="00ED7F17" w:rsidP="006F7358">
            <w:pPr>
              <w:jc w:val="both"/>
            </w:pPr>
            <w:r>
              <w:t>главные внештатные специалисты: кардиолог, невролог МЗ АО, главные врачи МО АО,</w:t>
            </w:r>
          </w:p>
          <w:p w:rsidR="00ED7F17" w:rsidRDefault="00ED7F17" w:rsidP="006F7358">
            <w:pPr>
              <w:jc w:val="both"/>
            </w:pPr>
            <w:r>
              <w:t>Руководители профильных НМИЦ</w:t>
            </w:r>
          </w:p>
          <w:p w:rsidR="00ED7F17" w:rsidRDefault="00ED7F17" w:rsidP="006F7358">
            <w:pPr>
              <w:jc w:val="both"/>
              <w:rPr>
                <w:color w:val="000000"/>
              </w:rPr>
            </w:pPr>
            <w:r>
              <w:t>Представители ФОМС</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План региональных образовательных мероприятий для участковых врачей, кардиологов и неврологов поликлиник, в том числе при проведении выездной работы по методам ранней диагностики ССЗ и современным возможностям проведения вторичной профилактики, включающим высокотехнологичную специализированную помощь.</w:t>
            </w:r>
          </w:p>
        </w:tc>
      </w:tr>
      <w:tr w:rsidR="00ED7F17" w:rsidTr="00274256">
        <w:trPr>
          <w:trHeight w:val="162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t>5.2.2.</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Подготовить и предоставить информационные материалы для обучения участковых врачей- терапевтов, врачей общей практики, кардиологов и неврологов поликлиник, в том числе при проведении выездной работы по методам ранней диагностики ССЗ и современным возможностям проведения вторичной профилактики, включающим высокотехнологичную специализированную помощь</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01.09.2019</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главные внештатные специалисты: кардиолог, невролог МЗ АО, главные врачи МО АО,</w:t>
            </w:r>
          </w:p>
          <w:p w:rsidR="00ED7F17" w:rsidRDefault="00ED7F17" w:rsidP="006F7358">
            <w:pPr>
              <w:jc w:val="both"/>
            </w:pPr>
            <w:r>
              <w:t>Руководители профильных НМИЦ</w:t>
            </w:r>
          </w:p>
          <w:p w:rsidR="00ED7F17" w:rsidRDefault="00ED7F17" w:rsidP="006F7358">
            <w:pPr>
              <w:jc w:val="both"/>
            </w:pPr>
            <w:r>
              <w:t>Представители ФОМС</w:t>
            </w:r>
          </w:p>
          <w:p w:rsidR="00ED7F17" w:rsidRDefault="00ED7F17" w:rsidP="006F7358">
            <w:pPr>
              <w:jc w:val="both"/>
            </w:pP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Предоставлены информационные материалы для изучения в виде видео лекций.</w:t>
            </w:r>
          </w:p>
          <w:p w:rsidR="00ED7F17" w:rsidRDefault="00ED7F17" w:rsidP="006F7358">
            <w:pPr>
              <w:jc w:val="both"/>
              <w:rPr>
                <w:color w:val="000000"/>
              </w:rPr>
            </w:pPr>
            <w:r>
              <w:rPr>
                <w:color w:val="000000"/>
              </w:rPr>
              <w:t>Сформированы образовательные программы по ранней диагностике ОКС и ОНМК.</w:t>
            </w:r>
          </w:p>
          <w:p w:rsidR="00ED7F17" w:rsidRDefault="00ED7F17" w:rsidP="006F7358">
            <w:pPr>
              <w:jc w:val="both"/>
              <w:rPr>
                <w:color w:val="000000"/>
              </w:rPr>
            </w:pPr>
            <w:r>
              <w:rPr>
                <w:color w:val="000000"/>
              </w:rPr>
              <w:t>Созданы видео лекции по кардиологии и неврологи, семинары- тренинги</w:t>
            </w:r>
          </w:p>
        </w:tc>
      </w:tr>
      <w:tr w:rsidR="00ED7F17" w:rsidTr="00274256">
        <w:trPr>
          <w:trHeight w:val="162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t>5.2.3.</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Провести образовательные мероприятия в каждой МО для обучения участковых врачей- терапевтов, врачей общей практики, кардиологов и неврологов поликлиник, в том числе при проведении выездной работы по методам ранней диагностики ССЗ и современным возможностям проведения вторичной профилактики, включающим высокотехнологичную специализированную помощь</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01.08.2019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главные внештатные специалисты: кардиолог, невролог МЗ АО, главные врачи МО АО,</w:t>
            </w:r>
          </w:p>
          <w:p w:rsidR="00ED7F17" w:rsidRDefault="00ED7F17" w:rsidP="006F7358">
            <w:pPr>
              <w:jc w:val="both"/>
            </w:pPr>
            <w:r>
              <w:rPr>
                <w:color w:val="000000"/>
              </w:rPr>
              <w:t>Представители ФОМС</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Предоставление ежеквартального отчета о количестве проведенных лекций, семинаров,</w:t>
            </w:r>
          </w:p>
          <w:p w:rsidR="00ED7F17" w:rsidRDefault="00ED7F17" w:rsidP="006F7358">
            <w:pPr>
              <w:jc w:val="both"/>
              <w:rPr>
                <w:color w:val="000000"/>
              </w:rPr>
            </w:pPr>
            <w:r>
              <w:rPr>
                <w:color w:val="000000"/>
              </w:rPr>
              <w:t>практических занятий с фельдшерами</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5.3.</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Организация и развитие системы оказания специализированной (в том числе высокотехнологичной) медицинской помощи населению по основным группам ССЗ</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01.08.2019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главные внештатные специалисты: кардиолог, невролог МЗ АО, главные врачи МО АО,</w:t>
            </w:r>
          </w:p>
          <w:p w:rsidR="00ED7F17" w:rsidRDefault="00ED7F17" w:rsidP="006F7358">
            <w:pPr>
              <w:jc w:val="both"/>
            </w:pPr>
            <w:r>
              <w:rPr>
                <w:color w:val="000000"/>
              </w:rPr>
              <w:t>Представители ФОМС</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Повышение качества оказания медицинской помощи пациентам с ССЗ.</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5.3.1.</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Разработка распоряжения о маршрутизации пациентов с ХСН на территории Астраханской области</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01.09.2019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31.12.2019</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главный внештатный специалист МЗ АО кардиолог, главные врачи МО АО,</w:t>
            </w:r>
          </w:p>
          <w:p w:rsidR="00ED7F17" w:rsidRDefault="00ED7F17" w:rsidP="006F7358">
            <w:pPr>
              <w:jc w:val="both"/>
            </w:pPr>
            <w:r>
              <w:t>Руководители профильных НМИЦ</w:t>
            </w:r>
          </w:p>
          <w:p w:rsidR="00ED7F17" w:rsidRDefault="00ED7F17" w:rsidP="006F7358">
            <w:pPr>
              <w:jc w:val="both"/>
            </w:pPr>
            <w:r>
              <w:t>Представители ФОМС</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Распоряжение о маршрутизации пациентов с ХСН на территории Астраханской области</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5.3.2.</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Разработка Положения о работе кабинета для оказания помощи пациентам с ХСН</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01.08.2019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31.11.2019</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МЗ АО , главный внештатный кардиолог МЗ АО, главные врачи МО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Положения о работе кабинета для оказания помощи пациентам с ХСН</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5.3.3.</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Мониторинг работы кабинетов для оказания помощи пациентам с ХСН</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01.08.2019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31.12.2024 (ежегодно)</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Главный внештатный кардиолог МЗ АО, главные врачи МО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Ежемесячный отчет о работе кабинетов для оказания помощи пациентам с ХСН</w:t>
            </w:r>
          </w:p>
        </w:tc>
      </w:tr>
      <w:tr w:rsidR="00ED7F17" w:rsidTr="00274256">
        <w:trPr>
          <w:trHeight w:val="162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5.3.4.</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 xml:space="preserve">На основе отчетности МО проводить анализ </w:t>
            </w:r>
            <w:r>
              <w:rPr>
                <w:color w:val="000000"/>
              </w:rPr>
              <w:t>работы кабинетов для оказания помощи пациентам с ХСН</w:t>
            </w:r>
            <w:r>
              <w:t xml:space="preserve"> с формированием управленческих решений на уровне МЗ АО</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31.12.2024 (ежегодно)</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Главный внештатный кардиолог МЗ АО, ГБУЗ АО «МИАЦ»,</w:t>
            </w:r>
          </w:p>
          <w:p w:rsidR="00ED7F17" w:rsidRDefault="00ED7F17" w:rsidP="006F7358">
            <w:pPr>
              <w:jc w:val="both"/>
            </w:pP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Аналитическая справка о результате анализа работы кабинетов для оказания помощи пациентам с ХСН и принятие управленческих решений</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5.4.</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 xml:space="preserve">Разработка распоряжение о маршрутизации пациентов с </w:t>
            </w:r>
            <w:r>
              <w:rPr>
                <w:color w:val="000000"/>
              </w:rPr>
              <w:t>нарушениями ритма сердца (далее- НРС) на территории Астраханской области</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01.09.2019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31.12.2019</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главные внештатные специалисты: кардиолог МЗ АО, главные врачи МО АО,</w:t>
            </w:r>
          </w:p>
          <w:p w:rsidR="00ED7F17" w:rsidRDefault="00ED7F17" w:rsidP="006F7358">
            <w:pPr>
              <w:jc w:val="both"/>
            </w:pPr>
            <w:r>
              <w:t>Руководители профильных НМИЦ</w:t>
            </w:r>
          </w:p>
          <w:p w:rsidR="00ED7F17" w:rsidRDefault="00ED7F17" w:rsidP="006F7358">
            <w:pPr>
              <w:jc w:val="both"/>
            </w:pPr>
            <w:r>
              <w:t>Представители ФОМС</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Распоряжение о маршрутизации пациентов с НРС на территории Астраханской области</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5.4.1.</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Разработка правил организации помощи больным с НРС в Астраханской области</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01.08.2019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31.12.2020</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главные внештатные специалисты: кардиолог МЗ АО, главные врачи МО АО,</w:t>
            </w:r>
          </w:p>
          <w:p w:rsidR="00ED7F17" w:rsidRDefault="00ED7F17" w:rsidP="006F7358">
            <w:pPr>
              <w:jc w:val="both"/>
            </w:pPr>
            <w:r>
              <w:rPr>
                <w:color w:val="000000"/>
              </w:rPr>
              <w:t>Представители ФОМС</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Правила организации помощи больным с НРС в Астраханской области</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5.4.2.</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Организация и развитие системы оказания специализированной (в том числе высокотехнологичной) помощи пациентам с нарушениями ритма сердца (далее- НРС)</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01.08.2019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главные внештатные специалисты: кардиолог МЗ АО, главные врачи МО АО,</w:t>
            </w:r>
          </w:p>
          <w:p w:rsidR="00ED7F17" w:rsidRDefault="00ED7F17" w:rsidP="006F7358">
            <w:pPr>
              <w:jc w:val="both"/>
            </w:pPr>
            <w:r>
              <w:t>Руководители профильных НМИЦ</w:t>
            </w:r>
          </w:p>
          <w:p w:rsidR="00ED7F17" w:rsidRDefault="00ED7F17" w:rsidP="006F7358">
            <w:pPr>
              <w:jc w:val="both"/>
            </w:pPr>
            <w:r>
              <w:rPr>
                <w:color w:val="000000"/>
              </w:rPr>
              <w:t>Представители ФОМС</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Работа кабинета на функциональной основе в ГБУЗ АО «ОКД». Повышение качества оказания медицинской помощи пациентам с ССЗ, в том числе с НРС.</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5.5.</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Увеличение частоты применения медикаментозных и хирургических, в том числе эндоваскулярных, методов вторичной профилактики ССЗ</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01.01.2019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Главные врачи МО АО, Представитель ФОМС</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 xml:space="preserve">Увеличение на 30% эндоваскулярных, методов вторичной профилактики ССЗ </w:t>
            </w:r>
            <w:r w:rsidRPr="00B158B8">
              <w:rPr>
                <w:color w:val="000000"/>
              </w:rPr>
              <w:t>(</w:t>
            </w:r>
            <w:r>
              <w:rPr>
                <w:color w:val="000000"/>
              </w:rPr>
              <w:t>в том числе в рамках ВМП).</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5.6.</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Льготное лекарственное обеспечение граждан в течение 6 месяцев после перенесенного ОИМ за счет средств областного бюджета</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01.01.2020</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МЗ АО, главные врачи МО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Эффективная вторичная профилактика, снижение на 15% числа повторных ОИМ и ОНМК, уменьшение смертности от ССЗ до целевых показателей</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5.7.</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Обеспечение кабинетов профилактики в МО печатной и видеопродукцией профилактической направленности.</w:t>
            </w:r>
          </w:p>
          <w:p w:rsidR="00ED7F17" w:rsidRDefault="00ED7F17" w:rsidP="006F7358">
            <w:pPr>
              <w:jc w:val="both"/>
              <w:rPr>
                <w:color w:val="000000"/>
              </w:rPr>
            </w:pP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01.01.2020</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ГБУЗ АО «ЦМП», главные врачи МО АО.</w:t>
            </w:r>
          </w:p>
          <w:p w:rsidR="00ED7F17" w:rsidRDefault="00ED7F17" w:rsidP="006F7358">
            <w:pPr>
              <w:jc w:val="both"/>
            </w:pPr>
          </w:p>
          <w:p w:rsidR="00ED7F17" w:rsidRDefault="00ED7F17" w:rsidP="006F7358">
            <w:pPr>
              <w:jc w:val="both"/>
              <w:rPr>
                <w:color w:val="000000"/>
              </w:rPr>
            </w:pP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Визуализация проблемы ССЗ для пациента, обеспечение пациента памятками по модификации факторов риска ССЗ.</w:t>
            </w:r>
          </w:p>
        </w:tc>
      </w:tr>
      <w:tr w:rsidR="00ED7F17" w:rsidTr="00274256">
        <w:trPr>
          <w:trHeight w:val="57"/>
          <w:jc w:val="right"/>
        </w:trPr>
        <w:tc>
          <w:tcPr>
            <w:tcW w:w="1119" w:type="dxa"/>
            <w:gridSpan w:val="2"/>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5.7.1</w:t>
            </w:r>
          </w:p>
        </w:tc>
        <w:tc>
          <w:tcPr>
            <w:tcW w:w="4241" w:type="dxa"/>
            <w:gridSpan w:val="4"/>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Разработка чек-листов общих принципов вторичной профилактики ССЗ и достижения целевых показателей снижения риска</w:t>
            </w:r>
          </w:p>
        </w:tc>
        <w:tc>
          <w:tcPr>
            <w:tcW w:w="1322" w:type="dxa"/>
            <w:gridSpan w:val="3"/>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01.01.2020</w:t>
            </w:r>
          </w:p>
        </w:tc>
        <w:tc>
          <w:tcPr>
            <w:tcW w:w="1515" w:type="dxa"/>
            <w:gridSpan w:val="2"/>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31.12.2024</w:t>
            </w:r>
          </w:p>
        </w:tc>
        <w:tc>
          <w:tcPr>
            <w:tcW w:w="2614" w:type="dxa"/>
            <w:gridSpan w:val="3"/>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ГБУЗ АО «ЦМП», главные врачи МО АО.</w:t>
            </w:r>
          </w:p>
          <w:p w:rsidR="00ED7F17" w:rsidRDefault="00ED7F17" w:rsidP="006F7358">
            <w:pPr>
              <w:jc w:val="both"/>
            </w:pPr>
          </w:p>
          <w:p w:rsidR="00ED7F17" w:rsidRDefault="00ED7F17" w:rsidP="006F7358">
            <w:pPr>
              <w:jc w:val="both"/>
              <w:rPr>
                <w:color w:val="000000"/>
              </w:rPr>
            </w:pPr>
          </w:p>
        </w:tc>
        <w:tc>
          <w:tcPr>
            <w:tcW w:w="4682" w:type="dxa"/>
            <w:gridSpan w:val="5"/>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Визуализация проблемы ССЗ для пациента, обеспечение пациента памятками по модификации факторов риска ССЗ.</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5.8.</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 xml:space="preserve">Проведение школ для пациентов с ССЗ, их родственников и социальных работников в медицинских организациях, оказывающих первичную медико-санитарную помощь </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01.01.2020</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ГБУЗ АО «ЦМП»,</w:t>
            </w:r>
          </w:p>
          <w:p w:rsidR="00ED7F17" w:rsidRDefault="00ED7F17" w:rsidP="006F7358">
            <w:pPr>
              <w:jc w:val="both"/>
            </w:pPr>
            <w:r>
              <w:t xml:space="preserve">главные врачи МО АО, </w:t>
            </w:r>
          </w:p>
          <w:p w:rsidR="00ED7F17" w:rsidRDefault="00ED7F17" w:rsidP="006F7358">
            <w:pPr>
              <w:jc w:val="both"/>
            </w:pPr>
            <w:r>
              <w:t>главные внештатные специалисты:невролог, кардиолог, терапевт, Министерство социального развития и труда АО</w:t>
            </w:r>
          </w:p>
          <w:p w:rsidR="00ED7F17" w:rsidRDefault="00ED7F17" w:rsidP="006F7358">
            <w:pPr>
              <w:jc w:val="both"/>
            </w:pP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5.9.</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Профилактика ССЗ в группах повышенного риска; выделение группы риска через анкетирование при проведении профилактических осмотров</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Главный внештатный специалист по общей врачебной практике МЗ АО,</w:t>
            </w:r>
          </w:p>
          <w:p w:rsidR="00ED7F17" w:rsidRDefault="00ED7F17" w:rsidP="006F7358">
            <w:pPr>
              <w:jc w:val="both"/>
            </w:pPr>
            <w:r>
              <w:t>ГБУЗ АО «ЦМП»</w:t>
            </w:r>
          </w:p>
          <w:p w:rsidR="00ED7F17" w:rsidRDefault="00ED7F17" w:rsidP="006F7358">
            <w:pPr>
              <w:jc w:val="both"/>
              <w:rPr>
                <w:color w:val="000000"/>
              </w:rPr>
            </w:pP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tabs>
                <w:tab w:val="left" w:pos="3720"/>
              </w:tabs>
              <w:jc w:val="both"/>
            </w:pPr>
            <w:r>
              <w:rPr>
                <w:color w:val="000000"/>
              </w:rPr>
              <w:t>Проведено анкетирование, выделены группы риска</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5.10.</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Просветительская и воспитательная работа среди населения при активном использовании средств массовой информации в пропаганде ЗОЖ: разработка и реализация лекторских программ по пропаганде здорового образа жизни и первичной профилактике ССЗ в целевых аудиториях</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Главный внештатный специалист по общей врачебной практике МЗ АО, главный внештатный специалист по медиицнской профилактике МЗ АО, ГБУЗ ;</w:t>
            </w:r>
          </w:p>
          <w:p w:rsidR="00ED7F17" w:rsidRDefault="00ED7F17" w:rsidP="006F7358">
            <w:pPr>
              <w:jc w:val="both"/>
            </w:pPr>
            <w:r>
              <w:t>ЦМП;</w:t>
            </w:r>
          </w:p>
          <w:p w:rsidR="00ED7F17" w:rsidRDefault="00ED7F17" w:rsidP="006F7358">
            <w:pPr>
              <w:jc w:val="both"/>
              <w:rPr>
                <w:color w:val="000000"/>
              </w:rPr>
            </w:pP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 xml:space="preserve"> Проведены лекции и круглые столы в медицинских организациях, оказывающих первичную медико-санитарную помощь не менее 1 раза в месяц </w:t>
            </w:r>
            <w:r>
              <w:t>по пропаганде здорового образа жизни и первичной профилактике ССЗ в целевых аудиториях</w:t>
            </w:r>
          </w:p>
        </w:tc>
      </w:tr>
      <w:tr w:rsidR="00ED7F17" w:rsidTr="00274256">
        <w:trPr>
          <w:trHeight w:val="57"/>
          <w:jc w:val="right"/>
        </w:trPr>
        <w:tc>
          <w:tcPr>
            <w:tcW w:w="15493" w:type="dxa"/>
            <w:gridSpan w:val="19"/>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rPr>
                <w:b/>
              </w:rPr>
            </w:pPr>
            <w:r>
              <w:rPr>
                <w:b/>
              </w:rPr>
              <w:t>6. Комплекс мер направленных на совершенствование организации диспансерного наблюдения больных сердечно-сосудистыми заболеваниями.</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bCs/>
                <w:color w:val="000000"/>
              </w:rPr>
              <w:t>6.1.</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Обеспечение реализации приказа МЗ РФ от 29.03.2019 №173н на территории Астраханской области с целью увеличения охвата диспансерным наблюдением пациентов с ССЗ</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bCs/>
                <w:iCs/>
              </w:rPr>
              <w:t>01.09.2019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bCs/>
                <w:iCs/>
              </w:rPr>
              <w:t>31.12.2024 (ежегодно)</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bCs/>
                <w:iCs/>
              </w:rPr>
              <w:t>МЗ АО, главные внештатные специалисты МЗ АО, главные врачи МО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Охват диспансерным наблюдением пациентов с ССЗ не менее 90%, в том числе лиц с высоким и очень высоким сердечно-сосудистым риском не менее 70%, лиц старше трудоспособного возраста не менее 90%.</w:t>
            </w:r>
          </w:p>
          <w:p w:rsidR="00ED7F17" w:rsidRDefault="00ED7F17" w:rsidP="006F7358">
            <w:pPr>
              <w:jc w:val="both"/>
            </w:pPr>
          </w:p>
        </w:tc>
      </w:tr>
      <w:tr w:rsidR="00ED7F17" w:rsidTr="00274256">
        <w:trPr>
          <w:trHeight w:val="57"/>
          <w:jc w:val="right"/>
        </w:trPr>
        <w:tc>
          <w:tcPr>
            <w:tcW w:w="1119" w:type="dxa"/>
            <w:gridSpan w:val="2"/>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bCs/>
                <w:color w:val="000000"/>
              </w:rPr>
              <w:t>6.1.1</w:t>
            </w:r>
          </w:p>
        </w:tc>
        <w:tc>
          <w:tcPr>
            <w:tcW w:w="4241" w:type="dxa"/>
            <w:gridSpan w:val="4"/>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Ежеквартальное направление отчета в МЗ АО о выполнении приказа МЗ РФ от 29.03.2019 №173н по результатам диспансерного наблюдения пациентов с ССЗ</w:t>
            </w:r>
          </w:p>
        </w:tc>
        <w:tc>
          <w:tcPr>
            <w:tcW w:w="1322" w:type="dxa"/>
            <w:gridSpan w:val="3"/>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bCs/>
                <w:iCs/>
              </w:rPr>
              <w:t>01.09.2019</w:t>
            </w:r>
          </w:p>
        </w:tc>
        <w:tc>
          <w:tcPr>
            <w:tcW w:w="1515" w:type="dxa"/>
            <w:gridSpan w:val="2"/>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bCs/>
                <w:iCs/>
              </w:rPr>
              <w:t>31.12.2024</w:t>
            </w:r>
          </w:p>
        </w:tc>
        <w:tc>
          <w:tcPr>
            <w:tcW w:w="2614" w:type="dxa"/>
            <w:gridSpan w:val="3"/>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bCs/>
                <w:iCs/>
              </w:rPr>
              <w:t>Главные врачи МО АО</w:t>
            </w:r>
          </w:p>
        </w:tc>
        <w:tc>
          <w:tcPr>
            <w:tcW w:w="4682" w:type="dxa"/>
            <w:gridSpan w:val="5"/>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Ежеквартальный отчет о выполнении приказа об утверждении алгоритма организации диспансерного наблюдения пациентов с ССЗ</w:t>
            </w:r>
          </w:p>
          <w:p w:rsidR="00ED7F17" w:rsidRDefault="00ED7F17" w:rsidP="006F7358">
            <w:pPr>
              <w:jc w:val="both"/>
            </w:pPr>
            <w:r>
              <w:t>Не менее 90% пациентов с ССЗ охвачены диспансерным наблюдением</w:t>
            </w:r>
          </w:p>
          <w:p w:rsidR="00ED7F17" w:rsidRDefault="00ED7F17" w:rsidP="006F7358">
            <w:pPr>
              <w:jc w:val="both"/>
            </w:pPr>
          </w:p>
        </w:tc>
      </w:tr>
      <w:tr w:rsidR="00ED7F17" w:rsidTr="00274256">
        <w:trPr>
          <w:trHeight w:val="57"/>
          <w:jc w:val="right"/>
        </w:trPr>
        <w:tc>
          <w:tcPr>
            <w:tcW w:w="1119" w:type="dxa"/>
            <w:gridSpan w:val="2"/>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bCs/>
                <w:color w:val="000000"/>
              </w:rPr>
              <w:t>6.1.2.</w:t>
            </w:r>
          </w:p>
        </w:tc>
        <w:tc>
          <w:tcPr>
            <w:tcW w:w="4241" w:type="dxa"/>
            <w:gridSpan w:val="4"/>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Анализ и принятие управленческих решений на основании отчетной документации о выполнении приказа об утверждении алгоритма организации диспансерного наблюдения пациентов с ССЗ</w:t>
            </w:r>
          </w:p>
        </w:tc>
        <w:tc>
          <w:tcPr>
            <w:tcW w:w="1322" w:type="dxa"/>
            <w:gridSpan w:val="3"/>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bCs/>
                <w:iCs/>
              </w:rPr>
              <w:t>01.09.2019</w:t>
            </w:r>
          </w:p>
        </w:tc>
        <w:tc>
          <w:tcPr>
            <w:tcW w:w="1515" w:type="dxa"/>
            <w:gridSpan w:val="2"/>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bCs/>
                <w:iCs/>
              </w:rPr>
              <w:t>31.12.2024</w:t>
            </w:r>
          </w:p>
        </w:tc>
        <w:tc>
          <w:tcPr>
            <w:tcW w:w="2614" w:type="dxa"/>
            <w:gridSpan w:val="3"/>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bCs/>
                <w:iCs/>
              </w:rPr>
              <w:t>МЗ АО</w:t>
            </w:r>
          </w:p>
        </w:tc>
        <w:tc>
          <w:tcPr>
            <w:tcW w:w="4682" w:type="dxa"/>
            <w:gridSpan w:val="5"/>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Протокол совещаний по вопросам диспансерного наблюдения; внесение изменений в нормативно-правовую документацию; документ МЗ АО о результате анализа отчетной документации о выполнении приказа об утверждении алгоритма организации диспансерного наблюдения пациентов с ССЗ</w:t>
            </w:r>
          </w:p>
        </w:tc>
      </w:tr>
      <w:tr w:rsidR="00ED7F17" w:rsidTr="00274256">
        <w:trPr>
          <w:trHeight w:val="57"/>
          <w:jc w:val="right"/>
        </w:trPr>
        <w:tc>
          <w:tcPr>
            <w:tcW w:w="1119" w:type="dxa"/>
            <w:gridSpan w:val="2"/>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bCs/>
                <w:color w:val="000000"/>
              </w:rPr>
              <w:t>6.2</w:t>
            </w:r>
            <w:r>
              <w:rPr>
                <w:bCs/>
                <w:color w:val="000000"/>
                <w:lang w:val="en-GB"/>
              </w:rPr>
              <w:t>.</w:t>
            </w:r>
          </w:p>
        </w:tc>
        <w:tc>
          <w:tcPr>
            <w:tcW w:w="4241" w:type="dxa"/>
            <w:gridSpan w:val="4"/>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Организация диспансерного наблюдения для всех групп больных с ССЗ с обеспечением преемственности стационарного и амбулаторного этапов</w:t>
            </w:r>
          </w:p>
        </w:tc>
        <w:tc>
          <w:tcPr>
            <w:tcW w:w="1322" w:type="dxa"/>
            <w:gridSpan w:val="3"/>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bCs/>
                <w:iCs/>
              </w:rPr>
            </w:pPr>
            <w:r>
              <w:rPr>
                <w:bCs/>
                <w:iCs/>
              </w:rPr>
              <w:t>01.09.2019</w:t>
            </w:r>
          </w:p>
        </w:tc>
        <w:tc>
          <w:tcPr>
            <w:tcW w:w="1515" w:type="dxa"/>
            <w:gridSpan w:val="2"/>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bCs/>
                <w:iCs/>
              </w:rPr>
            </w:pPr>
            <w:r>
              <w:rPr>
                <w:bCs/>
                <w:iCs/>
              </w:rPr>
              <w:t>31.12.2019</w:t>
            </w:r>
          </w:p>
        </w:tc>
        <w:tc>
          <w:tcPr>
            <w:tcW w:w="2614" w:type="dxa"/>
            <w:gridSpan w:val="3"/>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bCs/>
                <w:iCs/>
              </w:rPr>
            </w:pPr>
            <w:r>
              <w:rPr>
                <w:bCs/>
                <w:iCs/>
              </w:rPr>
              <w:t>МЗ АО, Главные</w:t>
            </w:r>
          </w:p>
          <w:p w:rsidR="00ED7F17" w:rsidRDefault="00ED7F17" w:rsidP="006F7358">
            <w:pPr>
              <w:jc w:val="both"/>
              <w:rPr>
                <w:bCs/>
                <w:iCs/>
              </w:rPr>
            </w:pPr>
            <w:r>
              <w:rPr>
                <w:bCs/>
                <w:iCs/>
              </w:rPr>
              <w:t>внештатные</w:t>
            </w:r>
          </w:p>
          <w:p w:rsidR="00ED7F17" w:rsidRDefault="00ED7F17" w:rsidP="006F7358">
            <w:pPr>
              <w:jc w:val="both"/>
              <w:rPr>
                <w:bCs/>
                <w:iCs/>
              </w:rPr>
            </w:pPr>
            <w:r>
              <w:rPr>
                <w:bCs/>
                <w:iCs/>
              </w:rPr>
              <w:t>специалисты МЗ АО,</w:t>
            </w:r>
          </w:p>
          <w:p w:rsidR="00ED7F17" w:rsidRDefault="00ED7F17" w:rsidP="006F7358">
            <w:pPr>
              <w:jc w:val="both"/>
              <w:rPr>
                <w:bCs/>
                <w:iCs/>
              </w:rPr>
            </w:pPr>
            <w:r>
              <w:rPr>
                <w:bCs/>
                <w:iCs/>
              </w:rPr>
              <w:t>Главные врачи</w:t>
            </w:r>
          </w:p>
          <w:p w:rsidR="00ED7F17" w:rsidRDefault="00ED7F17" w:rsidP="006F7358">
            <w:pPr>
              <w:jc w:val="both"/>
              <w:rPr>
                <w:bCs/>
                <w:iCs/>
              </w:rPr>
            </w:pPr>
            <w:r>
              <w:rPr>
                <w:bCs/>
                <w:iCs/>
              </w:rPr>
              <w:t>МО АО</w:t>
            </w:r>
          </w:p>
        </w:tc>
        <w:tc>
          <w:tcPr>
            <w:tcW w:w="4682" w:type="dxa"/>
            <w:gridSpan w:val="5"/>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bCs/>
                <w:color w:val="000000"/>
              </w:rPr>
              <w:t>Обеспечена передача эпикризов из историй болезни по защищенным каналам связи между стационарным учреждением и  медицинскими организациями, оказывающих первичную медико-санитарную помощь</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bCs/>
                <w:color w:val="000000"/>
              </w:rPr>
              <w:t>6.3.</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Обеспечить информированность пациентов о возможности/необходимости бесплатного диспансерного наблюдения</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bCs/>
                <w:iCs/>
              </w:rPr>
            </w:pPr>
            <w:r>
              <w:rPr>
                <w:bCs/>
                <w:iCs/>
              </w:rPr>
              <w:t>01.09.2019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bCs/>
                <w:iCs/>
              </w:rPr>
            </w:pPr>
            <w:r>
              <w:rPr>
                <w:bCs/>
                <w:iCs/>
              </w:rPr>
              <w:t>31.12.2024 (ежегодно)</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bCs/>
                <w:iCs/>
              </w:rPr>
              <w:t>МЗ АО , Главные внештатные специалисты МЗ АО, ГБУЗ АО «ЦМП»</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Созданы/доработаны программы школ пациентов по нозологиям информацией о возможности/необходимости бесплатного диспансерного наблюдения; созданы информационные материалы (плакаты в МО, флаеры, буклеты) о возможности/необходимости бесплатного диспансерного наблюдения</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rPr>
                <w:bCs/>
              </w:rPr>
              <w:t>6.3.1.</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Информирование пациентов о возможности/необходимости бесплатного диспансерного наблюдения: в виде устного оповещения каждого пациента; в виде публикации информационных материалов</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rPr>
                <w:bCs/>
                <w:iCs/>
              </w:rPr>
            </w:pPr>
            <w:r>
              <w:rPr>
                <w:bCs/>
                <w:iCs/>
              </w:rPr>
              <w:t>01.09.2019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rPr>
                <w:bCs/>
                <w:iCs/>
              </w:rPr>
            </w:pPr>
            <w:r>
              <w:rPr>
                <w:bCs/>
                <w:iCs/>
              </w:rP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rPr>
                <w:bCs/>
                <w:iCs/>
              </w:rPr>
              <w:t>МЗ АО, главные врачи МО АО, страховые представители пациента (СМО)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Проведено не менее 2 лекций для пациентов о возможности/необходимости бесплатного диспансерного наблюдения; в каждом подразделении МО, размещено не менее 2 информационных плакатов о возможности/необходимости бесплатного диспансерного наблюдения; роздано не менее 200 флаеров с информацией о возможности/необходимости бесплатного диспансерного наблюдения</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rPr>
                <w:bCs/>
                <w:color w:val="000000"/>
              </w:rPr>
              <w:t>6.4.</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rPr>
                <w:bCs/>
                <w:color w:val="000000"/>
              </w:rPr>
              <w:t>Мероприятия по обеспечению преемственности между стационарными учреждениями и медицинскими организациями, оказывающих первичную медико-санитарную помощь по своевременному взятию на диспансерный учет пациентов с ССЗ. Создание нового функционала в РИАМС «Промед», обеспечивающего информирование учреждений ПМСП о пациентах с ССЗ и выписанных из стационара.</w:t>
            </w:r>
          </w:p>
          <w:p w:rsidR="00ED7F17" w:rsidRDefault="00ED7F17" w:rsidP="006F7358">
            <w:pPr>
              <w:jc w:val="both"/>
            </w:pPr>
            <w:r>
              <w:rPr>
                <w:bCs/>
                <w:color w:val="000000"/>
              </w:rPr>
              <w:t>Разработка/доработка информационного контура Астраханской области в части преемственности данных стационарного и амбулаторного звена медицинской помощи больным с ССЗ</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rPr>
                <w:bCs/>
                <w:color w:val="000000"/>
              </w:rPr>
            </w:pPr>
            <w:r>
              <w:rPr>
                <w:bCs/>
                <w:color w:val="000000"/>
              </w:rPr>
              <w:t>01.09.2019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rPr>
                <w:bCs/>
                <w:color w:val="000000"/>
              </w:rPr>
            </w:pPr>
            <w:r>
              <w:rPr>
                <w:bCs/>
                <w:color w:val="000000"/>
              </w:rP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rPr>
                <w:bCs/>
                <w:color w:val="000000"/>
              </w:rPr>
              <w:t>МЗ АО, ГБУЗ АО «МИАЦ», главные врачи МО АО, главные внештатные специалисты МЗ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rPr>
                <w:bCs/>
                <w:color w:val="000000"/>
              </w:rPr>
              <w:t>Обеспечена передача эпикризов из историй болезни по защищенным каналам связи между стационарным учреждением и  медицинскими организациями, оказывающих первичную медико-санитарную помощь</w:t>
            </w:r>
          </w:p>
          <w:p w:rsidR="00ED7F17" w:rsidRDefault="00ED7F17" w:rsidP="006F7358">
            <w:pPr>
              <w:jc w:val="both"/>
              <w:rPr>
                <w:bCs/>
                <w:color w:val="000000"/>
              </w:rPr>
            </w:pPr>
            <w:r>
              <w:rPr>
                <w:bCs/>
                <w:color w:val="000000"/>
              </w:rPr>
              <w:t>Своевременное информирование учреждений ПМСП о выписке пациентов с ССЗ, нуждающихся в диспансерном наблюдении</w:t>
            </w:r>
          </w:p>
          <w:p w:rsidR="00ED7F17" w:rsidRDefault="00ED7F17" w:rsidP="006F7358">
            <w:pPr>
              <w:jc w:val="both"/>
            </w:pPr>
            <w:r>
              <w:rPr>
                <w:bCs/>
                <w:color w:val="000000"/>
              </w:rPr>
              <w:t>70% пациентов с ССЗ, выписанных из стационара, охвачены диспансерным наблюдением</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6.4.1.</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Организация проведения диспансерного наблюдения в МО АО с целью увеличения % охваченных диспансеризацией пациентов, перенесших инфаркт миокарда</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 xml:space="preserve">01.12.2019 </w:t>
            </w:r>
            <w:r>
              <w:rPr>
                <w:color w:val="000000"/>
              </w:rPr>
              <w:br/>
              <w:t>(далее ежегодно)</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главные врачи МО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Не менее 90% пациентов, перенесших инфаркт миокарда охвачены диспансеризацией МО АО</w:t>
            </w:r>
          </w:p>
        </w:tc>
      </w:tr>
      <w:tr w:rsidR="00ED7F17" w:rsidTr="00274256">
        <w:trPr>
          <w:trHeight w:val="57"/>
          <w:jc w:val="right"/>
        </w:trPr>
        <w:tc>
          <w:tcPr>
            <w:tcW w:w="1119" w:type="dxa"/>
            <w:gridSpan w:val="2"/>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6.4.2.</w:t>
            </w:r>
          </w:p>
        </w:tc>
        <w:tc>
          <w:tcPr>
            <w:tcW w:w="4241" w:type="dxa"/>
            <w:gridSpan w:val="4"/>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Организация проведения диспансерного наблюдения в медицинских организациях Астраханской области с целью увеличения % охваченных диспансеризацией пациентов, перенесших острое нарушение мозгового кровообращения</w:t>
            </w:r>
          </w:p>
        </w:tc>
        <w:tc>
          <w:tcPr>
            <w:tcW w:w="1322" w:type="dxa"/>
            <w:gridSpan w:val="3"/>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01.07.2019</w:t>
            </w:r>
          </w:p>
        </w:tc>
        <w:tc>
          <w:tcPr>
            <w:tcW w:w="1515" w:type="dxa"/>
            <w:gridSpan w:val="2"/>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 xml:space="preserve">01.12.2019 </w:t>
            </w:r>
            <w:r>
              <w:rPr>
                <w:color w:val="000000"/>
              </w:rPr>
              <w:br/>
              <w:t>(далее ежегодно)</w:t>
            </w:r>
          </w:p>
        </w:tc>
        <w:tc>
          <w:tcPr>
            <w:tcW w:w="2614" w:type="dxa"/>
            <w:gridSpan w:val="3"/>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главные врачи МО АО</w:t>
            </w:r>
          </w:p>
        </w:tc>
        <w:tc>
          <w:tcPr>
            <w:tcW w:w="4682" w:type="dxa"/>
            <w:gridSpan w:val="5"/>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Не менее 90% пациентов, перенесших острое нарушение мозгового кровообращения охвачены диспансеризацией МО АО</w:t>
            </w:r>
          </w:p>
        </w:tc>
      </w:tr>
      <w:tr w:rsidR="00ED7F17" w:rsidTr="00274256">
        <w:trPr>
          <w:trHeight w:val="57"/>
          <w:jc w:val="right"/>
        </w:trPr>
        <w:tc>
          <w:tcPr>
            <w:tcW w:w="1119" w:type="dxa"/>
            <w:gridSpan w:val="2"/>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bCs/>
                <w:color w:val="000000"/>
              </w:rPr>
              <w:t>6.5.</w:t>
            </w:r>
          </w:p>
        </w:tc>
        <w:tc>
          <w:tcPr>
            <w:tcW w:w="4241" w:type="dxa"/>
            <w:gridSpan w:val="4"/>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bCs/>
                <w:iCs/>
              </w:rPr>
            </w:pPr>
            <w:r>
              <w:rPr>
                <w:bCs/>
                <w:iCs/>
              </w:rPr>
              <w:t>Увеличить охват и качество диспансерного наблюдения пациентов с артериальной гипертонией, хронической ишемической болезнью сердца.</w:t>
            </w:r>
          </w:p>
        </w:tc>
        <w:tc>
          <w:tcPr>
            <w:tcW w:w="1322" w:type="dxa"/>
            <w:gridSpan w:val="3"/>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b/>
                <w:bCs/>
                <w:color w:val="000000"/>
              </w:rPr>
            </w:pPr>
            <w:r>
              <w:rPr>
                <w:color w:val="000000"/>
              </w:rPr>
              <w:t>01.07.2019</w:t>
            </w:r>
          </w:p>
        </w:tc>
        <w:tc>
          <w:tcPr>
            <w:tcW w:w="1515" w:type="dxa"/>
            <w:gridSpan w:val="2"/>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b/>
                <w:bCs/>
                <w:color w:val="000000"/>
              </w:rPr>
            </w:pPr>
            <w:r>
              <w:rPr>
                <w:color w:val="000000"/>
              </w:rPr>
              <w:t>31.12.2024</w:t>
            </w:r>
          </w:p>
        </w:tc>
        <w:tc>
          <w:tcPr>
            <w:tcW w:w="2614" w:type="dxa"/>
            <w:gridSpan w:val="3"/>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bCs/>
                <w:iCs/>
              </w:rPr>
            </w:pPr>
            <w:r>
              <w:rPr>
                <w:bCs/>
                <w:iCs/>
              </w:rPr>
              <w:t>Главные врачи МО АО, оказывающие ПСМП, ОБУЗ КД</w:t>
            </w:r>
          </w:p>
        </w:tc>
        <w:tc>
          <w:tcPr>
            <w:tcW w:w="4682" w:type="dxa"/>
            <w:gridSpan w:val="5"/>
            <w:tcBorders>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iCs/>
              </w:rPr>
              <w:t xml:space="preserve">Ведение регистра пациентов с АГ </w:t>
            </w:r>
            <w:r>
              <w:rPr>
                <w:bCs/>
                <w:iCs/>
                <w:color w:val="000000"/>
              </w:rPr>
              <w:t>медицинскими организациями, оказывающих первичную медико-санитарную помощь</w:t>
            </w:r>
            <w:r>
              <w:rPr>
                <w:iCs/>
              </w:rPr>
              <w:t>, регистра пациентов с ХИБС (ГБУЗ АО «ОКД»)</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6.6.</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 xml:space="preserve">Проведение социального опроса в медицинских организациях по вопросу качества </w:t>
            </w:r>
            <w:r>
              <w:rPr>
                <w:bCs/>
                <w:iCs/>
              </w:rPr>
              <w:t>диспансерного наблюдения пациентов</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rPr>
                <w:b/>
                <w:bCs/>
              </w:rPr>
            </w:pPr>
            <w:r>
              <w:t>01.09.2019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rPr>
                <w:b/>
                <w:bCs/>
              </w:rPr>
            </w:pPr>
            <w: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Главные врачи МО АО совместно с представителями СМО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Усиление контроля за качеством проведения диспансерного наблюдения</w:t>
            </w:r>
          </w:p>
        </w:tc>
      </w:tr>
      <w:tr w:rsidR="00ED7F17" w:rsidTr="00274256">
        <w:trPr>
          <w:trHeight w:val="57"/>
          <w:jc w:val="right"/>
        </w:trPr>
        <w:tc>
          <w:tcPr>
            <w:tcW w:w="1119" w:type="dxa"/>
            <w:gridSpan w:val="2"/>
            <w:tcBorders>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6.7.</w:t>
            </w:r>
          </w:p>
        </w:tc>
        <w:tc>
          <w:tcPr>
            <w:tcW w:w="4241" w:type="dxa"/>
            <w:gridSpan w:val="4"/>
            <w:tcBorders>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Мероприятия по повышению охвата и эффективности диспансерного наблюдения пациентов с ХСН.</w:t>
            </w:r>
          </w:p>
        </w:tc>
        <w:tc>
          <w:tcPr>
            <w:tcW w:w="1322" w:type="dxa"/>
            <w:gridSpan w:val="3"/>
            <w:tcBorders>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01.09.2019</w:t>
            </w:r>
          </w:p>
        </w:tc>
        <w:tc>
          <w:tcPr>
            <w:tcW w:w="1515" w:type="dxa"/>
            <w:gridSpan w:val="2"/>
            <w:tcBorders>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31.12.2024</w:t>
            </w:r>
          </w:p>
        </w:tc>
        <w:tc>
          <w:tcPr>
            <w:tcW w:w="2614" w:type="dxa"/>
            <w:gridSpan w:val="3"/>
            <w:tcBorders>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МЗ АО, главный внештатный кардиолог МЗ АО.</w:t>
            </w:r>
          </w:p>
        </w:tc>
        <w:tc>
          <w:tcPr>
            <w:tcW w:w="4682" w:type="dxa"/>
            <w:gridSpan w:val="5"/>
            <w:tcBorders>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pPr>
            <w:r>
              <w:t>Создание (на функциональной основе) кабинетов для пациентов с ХСН на базе ГБУЗ АО «ОКД» и 5 районных больниц</w:t>
            </w:r>
          </w:p>
        </w:tc>
      </w:tr>
      <w:tr w:rsidR="00ED7F17" w:rsidTr="00274256">
        <w:trPr>
          <w:gridBefore w:val="1"/>
          <w:wBefore w:w="13" w:type="dxa"/>
          <w:trHeight w:val="703"/>
          <w:jc w:val="right"/>
        </w:trPr>
        <w:tc>
          <w:tcPr>
            <w:tcW w:w="15480" w:type="dxa"/>
            <w:gridSpan w:val="18"/>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rPr>
                <w:bCs/>
                <w:color w:val="000000"/>
              </w:rPr>
            </w:pPr>
            <w:r>
              <w:rPr>
                <w:b/>
                <w:bCs/>
                <w:color w:val="000000"/>
              </w:rPr>
              <w:t>7.</w:t>
            </w:r>
            <w:r>
              <w:rPr>
                <w:bCs/>
                <w:color w:val="000000"/>
              </w:rPr>
              <w:t xml:space="preserve"> </w:t>
            </w:r>
            <w:r>
              <w:rPr>
                <w:b/>
                <w:bCs/>
                <w:color w:val="000000"/>
              </w:rPr>
              <w:t>Комплекс мер, направленных на совершенствование оказания скорой медицинской помощи при болезнях системы кровообращения.</w:t>
            </w:r>
          </w:p>
        </w:tc>
      </w:tr>
      <w:tr w:rsidR="00ED7F17" w:rsidTr="00274256">
        <w:trPr>
          <w:gridBefore w:val="1"/>
          <w:wBefore w:w="13" w:type="dxa"/>
          <w:trHeight w:val="57"/>
          <w:jc w:val="right"/>
        </w:trPr>
        <w:tc>
          <w:tcPr>
            <w:tcW w:w="1123"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7.1.</w:t>
            </w:r>
          </w:p>
        </w:tc>
        <w:tc>
          <w:tcPr>
            <w:tcW w:w="3222"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Разработка мер по повышению эффективности оказания медицинской помощи больным с ССЗ службой скорой медицинской помощи</w:t>
            </w:r>
          </w:p>
        </w:tc>
        <w:tc>
          <w:tcPr>
            <w:tcW w:w="2341" w:type="dxa"/>
            <w:gridSpan w:val="5"/>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rPr>
                <w:bCs/>
                <w:iCs/>
              </w:rPr>
              <w:t>МЗ АО, г</w:t>
            </w:r>
            <w:r>
              <w:t>лавные внештатные специалисты МЗ АО</w:t>
            </w:r>
          </w:p>
        </w:tc>
        <w:tc>
          <w:tcPr>
            <w:tcW w:w="4665" w:type="dxa"/>
            <w:gridSpan w:val="4"/>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Приказ о принятии мер для совершенствования службы скорой медицинской помощи (далее СМП)</w:t>
            </w:r>
          </w:p>
        </w:tc>
      </w:tr>
      <w:tr w:rsidR="00ED7F17" w:rsidTr="00274256">
        <w:trPr>
          <w:gridBefore w:val="1"/>
          <w:wBefore w:w="13" w:type="dxa"/>
          <w:trHeight w:val="57"/>
          <w:jc w:val="right"/>
        </w:trPr>
        <w:tc>
          <w:tcPr>
            <w:tcW w:w="1123"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rPr>
                <w:lang w:val="en-US"/>
              </w:rPr>
            </w:pPr>
            <w:r>
              <w:rPr>
                <w:lang w:val="en-US"/>
              </w:rPr>
              <w:t>7.1.2.</w:t>
            </w:r>
          </w:p>
        </w:tc>
        <w:tc>
          <w:tcPr>
            <w:tcW w:w="3222"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Обеспечение на догоспитальном этапе диагностики и лечения ОКС по следующим показателям:</w:t>
            </w:r>
          </w:p>
          <w:p w:rsidR="00ED7F17" w:rsidRDefault="00ED7F17" w:rsidP="006F7358">
            <w:pPr>
              <w:jc w:val="both"/>
            </w:pPr>
            <w:r>
              <w:t>- доля обращений граждан ранее 2 часов от начала симптомов ОКС: не менее 25% от общего числа обращений;</w:t>
            </w:r>
          </w:p>
          <w:p w:rsidR="00ED7F17" w:rsidRDefault="00ED7F17" w:rsidP="006F7358">
            <w:pPr>
              <w:jc w:val="both"/>
            </w:pPr>
            <w:r>
              <w:t>- соблюдение интервала «вызов - прибытие скорой медицинской помощи»: не более 20 минут;</w:t>
            </w:r>
          </w:p>
          <w:p w:rsidR="00ED7F17" w:rsidRDefault="00ED7F17" w:rsidP="006F7358">
            <w:pPr>
              <w:jc w:val="both"/>
            </w:pPr>
            <w:r>
              <w:t>- соблюдение интервала «первый медицинский контакт - регистрация ЭКГ» не более 10 минут;</w:t>
            </w:r>
          </w:p>
          <w:p w:rsidR="00ED7F17" w:rsidRDefault="00ED7F17" w:rsidP="006F7358">
            <w:pPr>
              <w:jc w:val="both"/>
            </w:pPr>
            <w:r>
              <w:t>- соблюдение интервала «постановка диагноза ОКС с подъемом сегмента ST (ОКСп</w:t>
            </w:r>
            <w:r>
              <w:rPr>
                <w:lang w:val="en-US"/>
              </w:rPr>
              <w:t>ST</w:t>
            </w:r>
            <w:r>
              <w:t>) (регистрация и расшифровка ЭКГ) – тромболитической терапии (ТЛТ)»: не более 10 мин;</w:t>
            </w:r>
          </w:p>
          <w:p w:rsidR="00ED7F17" w:rsidRDefault="00ED7F17" w:rsidP="006F7358">
            <w:pPr>
              <w:jc w:val="both"/>
            </w:pPr>
            <w:r>
              <w:t>- доля проведения реперфузионной тактики при ОКСпST: не менее 85% от всех случаев ОКСпST;</w:t>
            </w:r>
          </w:p>
          <w:p w:rsidR="00ED7F17" w:rsidRDefault="00ED7F17" w:rsidP="006F7358">
            <w:pPr>
              <w:jc w:val="both"/>
            </w:pPr>
            <w:r>
              <w:t>- доля ТЛТ на догоспитальном этапе при невозможности проведения ЧКВ в течение 120 минут после постановки диагноза ОКСп</w:t>
            </w:r>
            <w:r>
              <w:rPr>
                <w:lang w:val="en-US"/>
              </w:rPr>
              <w:t>ST</w:t>
            </w:r>
            <w:r>
              <w:t xml:space="preserve"> (фармако-инвазивная тактика): не менее 90% от всех случаев ОКСпST с невозможностью проведения ЧКВ в течение 120 минут после постановки диагноза</w:t>
            </w:r>
          </w:p>
          <w:p w:rsidR="00ED7F17" w:rsidRDefault="00ED7F17" w:rsidP="006F7358">
            <w:pPr>
              <w:jc w:val="both"/>
            </w:pPr>
            <w:r>
              <w:t>- доля больных с ОКС, госпитализированных в профильные специализированные отделения: не менее 95% от всех случаев ОКС;</w:t>
            </w:r>
          </w:p>
          <w:p w:rsidR="00ED7F17" w:rsidRDefault="00ED7F17" w:rsidP="006F7358">
            <w:pPr>
              <w:jc w:val="both"/>
            </w:pPr>
            <w:r>
              <w:t>- приоритетный выезд СМП при ОНМК, первоочередная транспортировка с предварительным информированием принимающего стационара.</w:t>
            </w:r>
          </w:p>
        </w:tc>
        <w:tc>
          <w:tcPr>
            <w:tcW w:w="2341" w:type="dxa"/>
            <w:gridSpan w:val="5"/>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МЗ АО, главные внештатные специалисты МЗ АО: по скорой медицинской помощи, кардиолог, невролог</w:t>
            </w:r>
          </w:p>
        </w:tc>
        <w:tc>
          <w:tcPr>
            <w:tcW w:w="4665" w:type="dxa"/>
            <w:gridSpan w:val="4"/>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Ежемесячный отчет по указанным показателям</w:t>
            </w:r>
          </w:p>
          <w:p w:rsidR="00ED7F17" w:rsidRDefault="00ED7F17" w:rsidP="006F7358">
            <w:pPr>
              <w:jc w:val="both"/>
            </w:pPr>
          </w:p>
          <w:p w:rsidR="00ED7F17" w:rsidRDefault="00ED7F17" w:rsidP="006F7358">
            <w:pPr>
              <w:jc w:val="both"/>
            </w:pPr>
          </w:p>
          <w:p w:rsidR="00ED7F17" w:rsidRDefault="00ED7F17" w:rsidP="006F7358">
            <w:pPr>
              <w:jc w:val="both"/>
            </w:pPr>
          </w:p>
          <w:p w:rsidR="00ED7F17" w:rsidRDefault="00ED7F17" w:rsidP="006F7358">
            <w:pPr>
              <w:jc w:val="both"/>
            </w:pPr>
            <w:r>
              <w:t>Результат «вызов- прибытие» не более 20 мин 92%</w:t>
            </w:r>
          </w:p>
        </w:tc>
      </w:tr>
      <w:tr w:rsidR="00ED7F17" w:rsidTr="00274256">
        <w:trPr>
          <w:gridBefore w:val="1"/>
          <w:wBefore w:w="13" w:type="dxa"/>
          <w:trHeight w:val="57"/>
          <w:jc w:val="right"/>
        </w:trPr>
        <w:tc>
          <w:tcPr>
            <w:tcW w:w="1123"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7.2.</w:t>
            </w:r>
          </w:p>
        </w:tc>
        <w:tc>
          <w:tcPr>
            <w:tcW w:w="3222"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Обучение диспетчеров и выездного персонала скорой медицинской помощи методикам диагностики и догоспитального лечения мозгового инсульта.</w:t>
            </w:r>
          </w:p>
          <w:p w:rsidR="00ED7F17" w:rsidRDefault="00ED7F17" w:rsidP="006F7358">
            <w:pPr>
              <w:jc w:val="both"/>
            </w:pPr>
            <w:r>
              <w:t>Обеспечение приоритетного выезда СМП при ОКС, первоочередная транспортировка с предварительным информированием принимающего стационара.</w:t>
            </w:r>
          </w:p>
        </w:tc>
        <w:tc>
          <w:tcPr>
            <w:tcW w:w="2341" w:type="dxa"/>
            <w:gridSpan w:val="5"/>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МЗ АО, главные внештатные специалисты МЗ АО: по скорой медицинской помощи,  кардиолог, невролог</w:t>
            </w:r>
          </w:p>
        </w:tc>
        <w:tc>
          <w:tcPr>
            <w:tcW w:w="4665" w:type="dxa"/>
            <w:gridSpan w:val="4"/>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Обучено не менее 95% персонала СМП</w:t>
            </w:r>
          </w:p>
        </w:tc>
      </w:tr>
      <w:tr w:rsidR="00ED7F17" w:rsidTr="00274256">
        <w:trPr>
          <w:gridBefore w:val="1"/>
          <w:wBefore w:w="13" w:type="dxa"/>
          <w:trHeight w:val="57"/>
          <w:jc w:val="right"/>
        </w:trPr>
        <w:tc>
          <w:tcPr>
            <w:tcW w:w="1123" w:type="dxa"/>
            <w:gridSpan w:val="2"/>
            <w:tcBorders>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7.3.</w:t>
            </w:r>
          </w:p>
        </w:tc>
        <w:tc>
          <w:tcPr>
            <w:tcW w:w="3222" w:type="dxa"/>
            <w:gridSpan w:val="2"/>
            <w:tcBorders>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Обучение диспетчеров и выездного персонала СМП методикам диагностики и до госпитального лечения инфаркта миокарда</w:t>
            </w:r>
          </w:p>
        </w:tc>
        <w:tc>
          <w:tcPr>
            <w:tcW w:w="2341" w:type="dxa"/>
            <w:gridSpan w:val="5"/>
            <w:tcBorders>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01.07.2019</w:t>
            </w:r>
          </w:p>
        </w:tc>
        <w:tc>
          <w:tcPr>
            <w:tcW w:w="1515" w:type="dxa"/>
            <w:gridSpan w:val="2"/>
            <w:tcBorders>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31.12.2024</w:t>
            </w:r>
          </w:p>
        </w:tc>
        <w:tc>
          <w:tcPr>
            <w:tcW w:w="2614" w:type="dxa"/>
            <w:gridSpan w:val="3"/>
            <w:tcBorders>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МЗ АО, главные внештатные специалисты МЗ АО: по скорой медицинской помощи,  кардиолог, невролог</w:t>
            </w:r>
          </w:p>
        </w:tc>
        <w:tc>
          <w:tcPr>
            <w:tcW w:w="4665" w:type="dxa"/>
            <w:gridSpan w:val="4"/>
            <w:tcBorders>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Обучено не менее 95% персонала СМП</w:t>
            </w:r>
          </w:p>
        </w:tc>
      </w:tr>
      <w:tr w:rsidR="00ED7F17" w:rsidTr="00274256">
        <w:trPr>
          <w:gridBefore w:val="1"/>
          <w:wBefore w:w="13" w:type="dxa"/>
          <w:trHeight w:val="57"/>
          <w:jc w:val="right"/>
        </w:trPr>
        <w:tc>
          <w:tcPr>
            <w:tcW w:w="1123" w:type="dxa"/>
            <w:gridSpan w:val="2"/>
            <w:tcBorders>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7.4.</w:t>
            </w:r>
          </w:p>
        </w:tc>
        <w:tc>
          <w:tcPr>
            <w:tcW w:w="3222" w:type="dxa"/>
            <w:gridSpan w:val="2"/>
            <w:tcBorders>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Разработка систем мониторинга достижения целевых показателей и исполнения приказа о принятии мер для совершенствования службы СМП</w:t>
            </w:r>
          </w:p>
        </w:tc>
        <w:tc>
          <w:tcPr>
            <w:tcW w:w="2341" w:type="dxa"/>
            <w:gridSpan w:val="5"/>
            <w:tcBorders>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01.07.2019</w:t>
            </w:r>
          </w:p>
        </w:tc>
        <w:tc>
          <w:tcPr>
            <w:tcW w:w="1515" w:type="dxa"/>
            <w:gridSpan w:val="2"/>
            <w:tcBorders>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31.12.2020</w:t>
            </w:r>
          </w:p>
        </w:tc>
        <w:tc>
          <w:tcPr>
            <w:tcW w:w="2614" w:type="dxa"/>
            <w:gridSpan w:val="3"/>
            <w:tcBorders>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МЗ АО,</w:t>
            </w:r>
          </w:p>
          <w:p w:rsidR="00ED7F17" w:rsidRDefault="00ED7F17" w:rsidP="006F7358">
            <w:pPr>
              <w:jc w:val="both"/>
            </w:pPr>
            <w:r>
              <w:t>главные внештатные специалисты МЗ АО,</w:t>
            </w:r>
          </w:p>
          <w:p w:rsidR="00ED7F17" w:rsidRDefault="00ED7F17" w:rsidP="006F7358">
            <w:pPr>
              <w:jc w:val="both"/>
            </w:pPr>
            <w:r>
              <w:t>главные врачи МО АО</w:t>
            </w:r>
          </w:p>
        </w:tc>
        <w:tc>
          <w:tcPr>
            <w:tcW w:w="4665" w:type="dxa"/>
            <w:gridSpan w:val="4"/>
            <w:tcBorders>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 xml:space="preserve">Создание информационной системы/регистра/участие в регистре мониторинга достижения целевых показателей и исполнения приказа о принятии мер для совершенствования службы СМП </w:t>
            </w:r>
          </w:p>
        </w:tc>
      </w:tr>
      <w:tr w:rsidR="00ED7F17" w:rsidTr="00274256">
        <w:trPr>
          <w:gridBefore w:val="1"/>
          <w:wBefore w:w="13" w:type="dxa"/>
          <w:trHeight w:val="57"/>
          <w:jc w:val="right"/>
        </w:trPr>
        <w:tc>
          <w:tcPr>
            <w:tcW w:w="1123"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7.4.1.</w:t>
            </w:r>
          </w:p>
        </w:tc>
        <w:tc>
          <w:tcPr>
            <w:tcW w:w="3222"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Ежемесячный контроль достижения целевых показателей:</w:t>
            </w:r>
          </w:p>
          <w:p w:rsidR="00ED7F17" w:rsidRDefault="00ED7F17" w:rsidP="006F7358">
            <w:pPr>
              <w:jc w:val="both"/>
            </w:pPr>
            <w:r>
              <w:t>- доля обращений граждан ранее 2 часов от начала симптомов ОКС: не менее 25% от общего числа обращений;</w:t>
            </w:r>
          </w:p>
          <w:p w:rsidR="00ED7F17" w:rsidRDefault="00ED7F17" w:rsidP="006F7358">
            <w:pPr>
              <w:jc w:val="both"/>
            </w:pPr>
            <w:r>
              <w:t>- соблюдение интервала «вызов - прибытие скорой медицинской помощи»: не более 20 минут;</w:t>
            </w:r>
          </w:p>
          <w:p w:rsidR="00ED7F17" w:rsidRDefault="00ED7F17" w:rsidP="006F7358">
            <w:pPr>
              <w:jc w:val="both"/>
            </w:pPr>
            <w:r>
              <w:t>- соблюдение интервала «первый медицинский контакт - регистрация ЭКГ» не более 10 минут;</w:t>
            </w:r>
          </w:p>
          <w:p w:rsidR="00ED7F17" w:rsidRDefault="00ED7F17" w:rsidP="006F7358">
            <w:pPr>
              <w:jc w:val="both"/>
            </w:pPr>
            <w:r>
              <w:t>- соблюдение интервала «постановка диагноза ОКС с подъемом сегмента ST (ОКСп</w:t>
            </w:r>
            <w:r>
              <w:rPr>
                <w:lang w:val="en-US"/>
              </w:rPr>
              <w:t>ST</w:t>
            </w:r>
            <w:r>
              <w:t>) (регистрация и расшифровка ЭКГ) – тромболитическая терапия (ТЛТ)»: не более 10 мин;</w:t>
            </w:r>
          </w:p>
          <w:p w:rsidR="00ED7F17" w:rsidRDefault="00ED7F17" w:rsidP="006F7358">
            <w:pPr>
              <w:jc w:val="both"/>
            </w:pPr>
            <w:r>
              <w:t>- доля проведения реперфузионной тактики при ОКСпST: не менее 85% от всех случаев ОКСпST;</w:t>
            </w:r>
          </w:p>
          <w:p w:rsidR="00ED7F17" w:rsidRDefault="00ED7F17" w:rsidP="006F7358">
            <w:pPr>
              <w:jc w:val="both"/>
            </w:pPr>
            <w:r>
              <w:t>- доля ТЛТ на догоспитальном этапе при невозможности провести ЧКВ в течение 120 минут после постановки диагноза ОКСп</w:t>
            </w:r>
            <w:r>
              <w:rPr>
                <w:lang w:val="en-US"/>
              </w:rPr>
              <w:t>ST</w:t>
            </w:r>
            <w:r>
              <w:t xml:space="preserve"> (фармако-инвазивная тактика): не менее 90% от всех случаев ОКСпST с невозможностью провести ЧКВ в течение 120 минут после постановки диагноза</w:t>
            </w:r>
          </w:p>
          <w:p w:rsidR="00ED7F17" w:rsidRDefault="00ED7F17" w:rsidP="006F7358">
            <w:pPr>
              <w:jc w:val="both"/>
            </w:pPr>
            <w:r>
              <w:t>- доля больных с ОКС, госпитализированных в профильные специализированные отделения: не менее 95% от всех случаев ОКС;</w:t>
            </w:r>
          </w:p>
          <w:p w:rsidR="00ED7F17" w:rsidRDefault="00ED7F17" w:rsidP="006F7358">
            <w:pPr>
              <w:jc w:val="both"/>
            </w:pPr>
            <w:r>
              <w:t>- приоритетный выезд СМП при ОНМК, первоочередная транспортировка с предварительным информированием принимающего стационара; обучение диспетчеров и выездного персонала СМП методикам диагностики и до госпитального лечения мозгового инсульта.</w:t>
            </w:r>
          </w:p>
          <w:p w:rsidR="00ED7F17" w:rsidRDefault="00ED7F17" w:rsidP="006F7358">
            <w:pPr>
              <w:jc w:val="both"/>
            </w:pPr>
            <w:r>
              <w:t>- приоритетный выезд СМП при ОКС, первоочередная транспортировка с предварительным информированием принимающего стационара; обучение диспетчеров и выездного персонала СМП методикам диагностики и до госпитального лечения инфаркта миокарда</w:t>
            </w:r>
          </w:p>
        </w:tc>
        <w:tc>
          <w:tcPr>
            <w:tcW w:w="2341" w:type="dxa"/>
            <w:gridSpan w:val="5"/>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01.08.2019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rPr>
                <w:bCs/>
                <w:iCs/>
              </w:rPr>
            </w:pPr>
          </w:p>
          <w:p w:rsidR="00ED7F17" w:rsidRDefault="00ED7F17" w:rsidP="006F7358">
            <w:pPr>
              <w:jc w:val="both"/>
            </w:pPr>
            <w:r>
              <w:rPr>
                <w:bCs/>
                <w:iCs/>
              </w:rPr>
              <w:t>главные врачи МО АО,</w:t>
            </w:r>
          </w:p>
          <w:p w:rsidR="00ED7F17" w:rsidRDefault="00ED7F17" w:rsidP="006F7358">
            <w:pPr>
              <w:jc w:val="both"/>
            </w:pPr>
            <w:r>
              <w:rPr>
                <w:bCs/>
                <w:iCs/>
              </w:rPr>
              <w:t>главные внештатные специалисты МЗ АО</w:t>
            </w:r>
          </w:p>
        </w:tc>
        <w:tc>
          <w:tcPr>
            <w:tcW w:w="4665" w:type="dxa"/>
            <w:gridSpan w:val="4"/>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Информационная справка в МЗ АО о достижении целевых показателей</w:t>
            </w:r>
          </w:p>
        </w:tc>
      </w:tr>
      <w:tr w:rsidR="00ED7F17" w:rsidTr="00274256">
        <w:trPr>
          <w:gridBefore w:val="1"/>
          <w:wBefore w:w="13" w:type="dxa"/>
          <w:trHeight w:val="57"/>
          <w:jc w:val="right"/>
        </w:trPr>
        <w:tc>
          <w:tcPr>
            <w:tcW w:w="1123"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7.4.2.</w:t>
            </w:r>
          </w:p>
        </w:tc>
        <w:tc>
          <w:tcPr>
            <w:tcW w:w="3222"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Анализ и принятие управленческих решений на основании отчетной документации о выполнении приказа о принятии мер для совершенствования службы СМП</w:t>
            </w:r>
          </w:p>
        </w:tc>
        <w:tc>
          <w:tcPr>
            <w:tcW w:w="2341" w:type="dxa"/>
            <w:gridSpan w:val="5"/>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01.09.2019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31.12.2024 (ежеквар-тально)</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rPr>
                <w:bCs/>
                <w:iCs/>
              </w:rPr>
              <w:t>МЗ АО</w:t>
            </w:r>
          </w:p>
        </w:tc>
        <w:tc>
          <w:tcPr>
            <w:tcW w:w="4665" w:type="dxa"/>
            <w:gridSpan w:val="4"/>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Протокол совещаний по вопросам совершенствования службы СМП; внесение изменений в нормативно-правовую документацию; документ МЗ о результате анализа отчетной документации о выполнении приказа о принятии мер для совершенствования службы скорой медицинской помощи</w:t>
            </w:r>
          </w:p>
        </w:tc>
      </w:tr>
      <w:tr w:rsidR="00ED7F17" w:rsidTr="00274256">
        <w:trPr>
          <w:gridBefore w:val="1"/>
          <w:wBefore w:w="13" w:type="dxa"/>
          <w:trHeight w:val="57"/>
          <w:jc w:val="right"/>
        </w:trPr>
        <w:tc>
          <w:tcPr>
            <w:tcW w:w="1123"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7.5.</w:t>
            </w:r>
          </w:p>
        </w:tc>
        <w:tc>
          <w:tcPr>
            <w:tcW w:w="3222"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Организация обучения сотрудников СМП целевым показателям и ознакомление с новыми схемами маршрутизации и мерами по повышению эффективности работы СМП</w:t>
            </w:r>
          </w:p>
        </w:tc>
        <w:tc>
          <w:tcPr>
            <w:tcW w:w="2341" w:type="dxa"/>
            <w:gridSpan w:val="5"/>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p>
          <w:p w:rsidR="00ED7F17" w:rsidRDefault="00ED7F17" w:rsidP="006F7358">
            <w:pPr>
              <w:jc w:val="both"/>
            </w:pPr>
            <w:r>
              <w:t>МЗ АО,</w:t>
            </w:r>
          </w:p>
          <w:p w:rsidR="00ED7F17" w:rsidRDefault="00ED7F17" w:rsidP="006F7358">
            <w:pPr>
              <w:jc w:val="both"/>
            </w:pPr>
            <w:r>
              <w:t>Главные внештатные специалисты МЗ АО</w:t>
            </w:r>
          </w:p>
        </w:tc>
        <w:tc>
          <w:tcPr>
            <w:tcW w:w="4665" w:type="dxa"/>
            <w:gridSpan w:val="4"/>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Для сотрудников СМП подготовлена программа лекций (в том числе видео лекции) по целевым показателям и ознакомлению с новыми мерами по повышению эффективности работы СМП</w:t>
            </w:r>
          </w:p>
          <w:p w:rsidR="00ED7F17" w:rsidRDefault="00ED7F17" w:rsidP="006F7358">
            <w:pPr>
              <w:jc w:val="both"/>
            </w:pPr>
            <w:r>
              <w:t>Ежегодно прошли программу обучения не менее 95% от всех сотрудников СМП</w:t>
            </w:r>
          </w:p>
        </w:tc>
      </w:tr>
      <w:tr w:rsidR="00ED7F17" w:rsidTr="00274256">
        <w:trPr>
          <w:gridBefore w:val="1"/>
          <w:wBefore w:w="13" w:type="dxa"/>
          <w:trHeight w:val="57"/>
          <w:jc w:val="right"/>
        </w:trPr>
        <w:tc>
          <w:tcPr>
            <w:tcW w:w="1123"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7.6.</w:t>
            </w:r>
          </w:p>
        </w:tc>
        <w:tc>
          <w:tcPr>
            <w:tcW w:w="3222"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Обеспечение ранней обращаемости за медицинской помощью, в том числе путем активного информирования населения о симптомах ОКС и ОНМК</w:t>
            </w:r>
          </w:p>
          <w:p w:rsidR="00ED7F17" w:rsidRDefault="00ED7F17" w:rsidP="006F7358">
            <w:pPr>
              <w:jc w:val="both"/>
            </w:pPr>
          </w:p>
        </w:tc>
        <w:tc>
          <w:tcPr>
            <w:tcW w:w="2341" w:type="dxa"/>
            <w:gridSpan w:val="5"/>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01.09.2019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ГГБУЗ АО «Центр медицинской профилактики», главный внештатный специалист по медицинской профилактике,</w:t>
            </w:r>
          </w:p>
          <w:p w:rsidR="00ED7F17" w:rsidRDefault="00ED7F17" w:rsidP="006F7358">
            <w:pPr>
              <w:jc w:val="both"/>
            </w:pPr>
            <w:r>
              <w:t>главные врачи МО ПМСП</w:t>
            </w:r>
          </w:p>
        </w:tc>
        <w:tc>
          <w:tcPr>
            <w:tcW w:w="4665" w:type="dxa"/>
            <w:gridSpan w:val="4"/>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повышение доли обращающихся при ОНМК в первые 4,5 часа, до 40% к 2024 году</w:t>
            </w:r>
          </w:p>
        </w:tc>
      </w:tr>
      <w:tr w:rsidR="00ED7F17" w:rsidTr="00274256">
        <w:trPr>
          <w:gridBefore w:val="1"/>
          <w:wBefore w:w="13" w:type="dxa"/>
          <w:trHeight w:val="57"/>
          <w:jc w:val="right"/>
        </w:trPr>
        <w:tc>
          <w:tcPr>
            <w:tcW w:w="1123"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7.6.1.</w:t>
            </w:r>
          </w:p>
        </w:tc>
        <w:tc>
          <w:tcPr>
            <w:tcW w:w="3222"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Контроль за соблюдением схем маршрутизации при ОКС и ОНМК</w:t>
            </w:r>
          </w:p>
        </w:tc>
        <w:tc>
          <w:tcPr>
            <w:tcW w:w="2341" w:type="dxa"/>
            <w:gridSpan w:val="5"/>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главный внештатный специалисты:  кардиолог</w:t>
            </w:r>
          </w:p>
          <w:p w:rsidR="00ED7F17" w:rsidRDefault="00ED7F17" w:rsidP="006F7358">
            <w:pPr>
              <w:jc w:val="both"/>
            </w:pPr>
            <w:r>
              <w:t>и невролог МЗ АО,</w:t>
            </w:r>
          </w:p>
          <w:p w:rsidR="00ED7F17" w:rsidRDefault="00ED7F17" w:rsidP="006F7358">
            <w:pPr>
              <w:jc w:val="both"/>
            </w:pPr>
            <w:r>
              <w:t>главные врачи МО АО</w:t>
            </w:r>
          </w:p>
        </w:tc>
        <w:tc>
          <w:tcPr>
            <w:tcW w:w="4665" w:type="dxa"/>
            <w:gridSpan w:val="4"/>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снижение доли непрофильных госпитализаций при ОКС и ОНМК до 3% к 2024 году.</w:t>
            </w:r>
          </w:p>
          <w:p w:rsidR="00ED7F17" w:rsidRDefault="00ED7F17" w:rsidP="006F7358">
            <w:pPr>
              <w:jc w:val="both"/>
            </w:pPr>
          </w:p>
        </w:tc>
      </w:tr>
      <w:tr w:rsidR="00ED7F17" w:rsidTr="00274256">
        <w:trPr>
          <w:gridBefore w:val="1"/>
          <w:wBefore w:w="13" w:type="dxa"/>
          <w:trHeight w:val="57"/>
          <w:jc w:val="right"/>
        </w:trPr>
        <w:tc>
          <w:tcPr>
            <w:tcW w:w="1123"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7.7.</w:t>
            </w:r>
          </w:p>
        </w:tc>
        <w:tc>
          <w:tcPr>
            <w:tcW w:w="3222"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Организация при сосудистых центрах (РСЦ, ПСО) круглосуточных врачебных постов дистанционного консультирования, включая передачу результатов ЭКГ</w:t>
            </w:r>
          </w:p>
        </w:tc>
        <w:tc>
          <w:tcPr>
            <w:tcW w:w="2341" w:type="dxa"/>
            <w:gridSpan w:val="5"/>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01.08.2019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Главные врачи ГБУЗ АО АМОКБ  и ГБУЗ АО ГКБ №3, главный внештатный специалист - кардиолог,</w:t>
            </w:r>
          </w:p>
          <w:p w:rsidR="00ED7F17" w:rsidRDefault="00ED7F17" w:rsidP="006F7358">
            <w:pPr>
              <w:jc w:val="both"/>
            </w:pPr>
            <w:r>
              <w:t>главные врачи МО АО</w:t>
            </w:r>
          </w:p>
        </w:tc>
        <w:tc>
          <w:tcPr>
            <w:tcW w:w="4665" w:type="dxa"/>
            <w:gridSpan w:val="4"/>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Обеспечена возможность дистанционной расшифровки ЭКГ, выполненных бригадами СМП</w:t>
            </w:r>
          </w:p>
        </w:tc>
      </w:tr>
      <w:tr w:rsidR="00ED7F17" w:rsidTr="00274256">
        <w:trPr>
          <w:gridBefore w:val="1"/>
          <w:wBefore w:w="13" w:type="dxa"/>
          <w:trHeight w:val="57"/>
          <w:jc w:val="right"/>
        </w:trPr>
        <w:tc>
          <w:tcPr>
            <w:tcW w:w="1123"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7.8.</w:t>
            </w:r>
          </w:p>
        </w:tc>
        <w:tc>
          <w:tcPr>
            <w:tcW w:w="3222"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Обеспечение передачи результатов ЭКГ в системе «Тредекс»</w:t>
            </w:r>
          </w:p>
        </w:tc>
        <w:tc>
          <w:tcPr>
            <w:tcW w:w="2341" w:type="dxa"/>
            <w:gridSpan w:val="5"/>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главные врачи МО АО, расположенных в муниципальных образованиях Астраханской области</w:t>
            </w:r>
          </w:p>
        </w:tc>
        <w:tc>
          <w:tcPr>
            <w:tcW w:w="4665" w:type="dxa"/>
            <w:gridSpan w:val="4"/>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Повышение качества оказания медицинской помощи пациентам с ССЗ</w:t>
            </w:r>
          </w:p>
        </w:tc>
      </w:tr>
      <w:tr w:rsidR="00ED7F17" w:rsidTr="00274256">
        <w:trPr>
          <w:gridBefore w:val="1"/>
          <w:wBefore w:w="13" w:type="dxa"/>
          <w:trHeight w:val="57"/>
          <w:jc w:val="right"/>
        </w:trPr>
        <w:tc>
          <w:tcPr>
            <w:tcW w:w="1123"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7.9.</w:t>
            </w:r>
          </w:p>
        </w:tc>
        <w:tc>
          <w:tcPr>
            <w:tcW w:w="3222"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Создание единой центральной диспетчерской службы СМП в регионе для координирования до госпитального этапа оказания медицинской помощи и обеспечения профильности госпитализации больных</w:t>
            </w:r>
          </w:p>
        </w:tc>
        <w:tc>
          <w:tcPr>
            <w:tcW w:w="2341" w:type="dxa"/>
            <w:gridSpan w:val="5"/>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31.12.2019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31.12.2020</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ГБУЗ «ЦМК и СМП», ГБУЗ АО «ЦМП», главные врачи МО АО.</w:t>
            </w:r>
          </w:p>
        </w:tc>
        <w:tc>
          <w:tcPr>
            <w:tcW w:w="4665" w:type="dxa"/>
            <w:gridSpan w:val="4"/>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Документ о создании центральной диспетчерской службы СМП Астраханской области для координирования в до госпитального этапа оказания медицинской помощи и обеспечения профильности госпитализации больных,</w:t>
            </w:r>
          </w:p>
          <w:p w:rsidR="00ED7F17" w:rsidRDefault="00ED7F17" w:rsidP="006F7358">
            <w:pPr>
              <w:jc w:val="both"/>
            </w:pPr>
            <w:r>
              <w:t>централизация ресурсов скорой медицинской помощи, обеспечение рекомендованных временных нормативов оказания СМП при ОКС и ОНМК</w:t>
            </w:r>
          </w:p>
          <w:p w:rsidR="00ED7F17" w:rsidRDefault="00ED7F17" w:rsidP="006F7358">
            <w:pPr>
              <w:jc w:val="both"/>
            </w:pPr>
            <w:r>
              <w:t>-до 31.12.2019 -25% диспетчерских СМП районных больниц объединены (Приволжский, Красноярский районы)</w:t>
            </w:r>
          </w:p>
          <w:p w:rsidR="00ED7F17" w:rsidRDefault="00ED7F17" w:rsidP="006F7358">
            <w:pPr>
              <w:jc w:val="both"/>
            </w:pPr>
            <w:r>
              <w:t>-до 31.12.2020 -75%  СМП районных больниц объединены</w:t>
            </w:r>
          </w:p>
          <w:p w:rsidR="00ED7F17" w:rsidRDefault="00ED7F17" w:rsidP="006F7358">
            <w:pPr>
              <w:jc w:val="both"/>
            </w:pPr>
          </w:p>
        </w:tc>
      </w:tr>
      <w:tr w:rsidR="00ED7F17" w:rsidTr="00274256">
        <w:trPr>
          <w:gridBefore w:val="1"/>
          <w:wBefore w:w="13" w:type="dxa"/>
          <w:trHeight w:val="57"/>
          <w:jc w:val="right"/>
        </w:trPr>
        <w:tc>
          <w:tcPr>
            <w:tcW w:w="1123" w:type="dxa"/>
            <w:gridSpan w:val="2"/>
            <w:tcBorders>
              <w:top w:val="single" w:sz="4" w:space="0" w:color="00000A"/>
              <w:left w:val="single" w:sz="4" w:space="0" w:color="00000A"/>
              <w:bottom w:val="single" w:sz="4" w:space="0" w:color="00000A"/>
              <w:right w:val="single" w:sz="4" w:space="0" w:color="00000A"/>
            </w:tcBorders>
            <w:shd w:val="clear" w:color="auto" w:fill="FFFFFF"/>
            <w:tcMar>
              <w:left w:w="73" w:type="dxa"/>
            </w:tcMar>
          </w:tcPr>
          <w:p w:rsidR="00ED7F17" w:rsidRDefault="00ED7F17" w:rsidP="006F7358">
            <w:pPr>
              <w:jc w:val="both"/>
            </w:pPr>
            <w:r>
              <w:t>7.9.1.</w:t>
            </w:r>
          </w:p>
        </w:tc>
        <w:tc>
          <w:tcPr>
            <w:tcW w:w="3222" w:type="dxa"/>
            <w:gridSpan w:val="2"/>
            <w:tcBorders>
              <w:top w:val="single" w:sz="4" w:space="0" w:color="00000A"/>
              <w:left w:val="single" w:sz="4" w:space="0" w:color="00000A"/>
              <w:bottom w:val="single" w:sz="4" w:space="0" w:color="00000A"/>
              <w:right w:val="single" w:sz="4" w:space="0" w:color="00000A"/>
            </w:tcBorders>
            <w:shd w:val="clear" w:color="auto" w:fill="FFFFFF"/>
            <w:tcMar>
              <w:left w:w="73" w:type="dxa"/>
            </w:tcMar>
          </w:tcPr>
          <w:p w:rsidR="00ED7F17" w:rsidRDefault="00ED7F17" w:rsidP="006F7358">
            <w:pPr>
              <w:tabs>
                <w:tab w:val="left" w:pos="720"/>
              </w:tabs>
              <w:jc w:val="both"/>
            </w:pPr>
            <w:r>
              <w:t>Мероприятия по усовершенствованию оказания помощи пациентам с ОКС, ОНМК бригадами скорой медицинской помощи (далее- СМП)</w:t>
            </w:r>
          </w:p>
        </w:tc>
        <w:tc>
          <w:tcPr>
            <w:tcW w:w="2341" w:type="dxa"/>
            <w:gridSpan w:val="5"/>
            <w:tcBorders>
              <w:top w:val="single" w:sz="4" w:space="0" w:color="00000A"/>
              <w:left w:val="single" w:sz="4" w:space="0" w:color="00000A"/>
              <w:bottom w:val="single" w:sz="4" w:space="0" w:color="00000A"/>
              <w:right w:val="single" w:sz="4" w:space="0" w:color="00000A"/>
            </w:tcBorders>
            <w:shd w:val="clear" w:color="auto" w:fill="FFFFFF"/>
            <w:tcMar>
              <w:left w:w="73" w:type="dxa"/>
            </w:tcMar>
          </w:tcPr>
          <w:p w:rsidR="00ED7F17" w:rsidRDefault="00ED7F17" w:rsidP="006F7358">
            <w:pPr>
              <w:jc w:val="both"/>
            </w:pPr>
            <w:r>
              <w:t>01.09.2019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FFFFFF"/>
            <w:tcMar>
              <w:left w:w="73" w:type="dxa"/>
            </w:tcMar>
          </w:tcPr>
          <w:p w:rsidR="00ED7F17" w:rsidRDefault="00ED7F17" w:rsidP="006F7358">
            <w:pPr>
              <w:jc w:val="both"/>
            </w:pPr>
            <w:r>
              <w:t>31.12.2020</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FFFFFF"/>
            <w:tcMar>
              <w:left w:w="73" w:type="dxa"/>
            </w:tcMar>
          </w:tcPr>
          <w:p w:rsidR="00ED7F17" w:rsidRDefault="00ED7F17" w:rsidP="006F7358">
            <w:pPr>
              <w:jc w:val="both"/>
            </w:pPr>
            <w:r>
              <w:t>МЗ АО</w:t>
            </w:r>
          </w:p>
        </w:tc>
        <w:tc>
          <w:tcPr>
            <w:tcW w:w="4665" w:type="dxa"/>
            <w:gridSpan w:val="4"/>
            <w:tcBorders>
              <w:top w:val="single" w:sz="4" w:space="0" w:color="00000A"/>
              <w:left w:val="single" w:sz="4" w:space="0" w:color="00000A"/>
              <w:bottom w:val="single" w:sz="4" w:space="0" w:color="00000A"/>
              <w:right w:val="single" w:sz="4" w:space="0" w:color="00000A"/>
            </w:tcBorders>
            <w:shd w:val="clear" w:color="auto" w:fill="FFFFFF"/>
            <w:tcMar>
              <w:left w:w="73" w:type="dxa"/>
            </w:tcMar>
          </w:tcPr>
          <w:p w:rsidR="00ED7F17" w:rsidRDefault="00ED7F17" w:rsidP="006F7358">
            <w:pPr>
              <w:tabs>
                <w:tab w:val="left" w:pos="720"/>
              </w:tabs>
              <w:jc w:val="both"/>
            </w:pPr>
            <w:r>
              <w:t>Создана единая диспетчерская СМП</w:t>
            </w:r>
          </w:p>
          <w:p w:rsidR="00ED7F17" w:rsidRDefault="00ED7F17" w:rsidP="006F7358">
            <w:pPr>
              <w:jc w:val="both"/>
            </w:pPr>
          </w:p>
        </w:tc>
      </w:tr>
      <w:tr w:rsidR="00ED7F17" w:rsidTr="00274256">
        <w:trPr>
          <w:gridBefore w:val="1"/>
          <w:wBefore w:w="13" w:type="dxa"/>
          <w:trHeight w:val="57"/>
          <w:jc w:val="right"/>
        </w:trPr>
        <w:tc>
          <w:tcPr>
            <w:tcW w:w="1123" w:type="dxa"/>
            <w:gridSpan w:val="2"/>
            <w:tcBorders>
              <w:left w:val="single" w:sz="4" w:space="0" w:color="00000A"/>
              <w:bottom w:val="single" w:sz="4" w:space="0" w:color="00000A"/>
              <w:right w:val="single" w:sz="4" w:space="0" w:color="00000A"/>
            </w:tcBorders>
            <w:shd w:val="clear" w:color="auto" w:fill="FFFFFF"/>
            <w:tcMar>
              <w:left w:w="73" w:type="dxa"/>
            </w:tcMar>
          </w:tcPr>
          <w:p w:rsidR="00ED7F17" w:rsidRDefault="00ED7F17" w:rsidP="006F7358">
            <w:pPr>
              <w:jc w:val="both"/>
            </w:pPr>
            <w:r>
              <w:t>7.10.</w:t>
            </w:r>
          </w:p>
        </w:tc>
        <w:tc>
          <w:tcPr>
            <w:tcW w:w="3222" w:type="dxa"/>
            <w:gridSpan w:val="2"/>
            <w:tcBorders>
              <w:left w:val="single" w:sz="4" w:space="0" w:color="00000A"/>
              <w:bottom w:val="single" w:sz="4" w:space="0" w:color="00000A"/>
              <w:right w:val="single" w:sz="4" w:space="0" w:color="00000A"/>
            </w:tcBorders>
            <w:shd w:val="clear" w:color="auto" w:fill="FFFFFF"/>
            <w:tcMar>
              <w:left w:w="73" w:type="dxa"/>
            </w:tcMar>
          </w:tcPr>
          <w:p w:rsidR="00ED7F17" w:rsidRDefault="00ED7F17" w:rsidP="006F7358">
            <w:pPr>
              <w:tabs>
                <w:tab w:val="left" w:pos="720"/>
              </w:tabs>
              <w:jc w:val="both"/>
            </w:pPr>
            <w:r>
              <w:t>Издание распоряжение о проведении мероприятий по усовершенствованию оказания помощи пациентам с ОКС бригадами СМП</w:t>
            </w:r>
          </w:p>
        </w:tc>
        <w:tc>
          <w:tcPr>
            <w:tcW w:w="2341" w:type="dxa"/>
            <w:gridSpan w:val="5"/>
            <w:tcBorders>
              <w:left w:val="single" w:sz="4" w:space="0" w:color="00000A"/>
              <w:bottom w:val="single" w:sz="4" w:space="0" w:color="00000A"/>
              <w:right w:val="single" w:sz="4" w:space="0" w:color="00000A"/>
            </w:tcBorders>
            <w:shd w:val="clear" w:color="auto" w:fill="FFFFFF"/>
            <w:tcMar>
              <w:left w:w="73" w:type="dxa"/>
            </w:tcMar>
          </w:tcPr>
          <w:p w:rsidR="00ED7F17" w:rsidRDefault="00ED7F17" w:rsidP="006F7358">
            <w:pPr>
              <w:jc w:val="both"/>
            </w:pPr>
            <w:r>
              <w:t>01.09.2019</w:t>
            </w:r>
          </w:p>
        </w:tc>
        <w:tc>
          <w:tcPr>
            <w:tcW w:w="1515" w:type="dxa"/>
            <w:gridSpan w:val="2"/>
            <w:tcBorders>
              <w:left w:val="single" w:sz="4" w:space="0" w:color="00000A"/>
              <w:bottom w:val="single" w:sz="4" w:space="0" w:color="00000A"/>
              <w:right w:val="single" w:sz="4" w:space="0" w:color="00000A"/>
            </w:tcBorders>
            <w:shd w:val="clear" w:color="auto" w:fill="FFFFFF"/>
            <w:tcMar>
              <w:left w:w="73" w:type="dxa"/>
            </w:tcMar>
          </w:tcPr>
          <w:p w:rsidR="00ED7F17" w:rsidRDefault="00ED7F17" w:rsidP="006F7358">
            <w:pPr>
              <w:jc w:val="both"/>
            </w:pPr>
            <w:r>
              <w:t>31.12.2020</w:t>
            </w:r>
          </w:p>
        </w:tc>
        <w:tc>
          <w:tcPr>
            <w:tcW w:w="2614" w:type="dxa"/>
            <w:gridSpan w:val="3"/>
            <w:tcBorders>
              <w:left w:val="single" w:sz="4" w:space="0" w:color="00000A"/>
              <w:bottom w:val="single" w:sz="4" w:space="0" w:color="00000A"/>
              <w:right w:val="single" w:sz="4" w:space="0" w:color="00000A"/>
            </w:tcBorders>
            <w:shd w:val="clear" w:color="auto" w:fill="FFFFFF"/>
            <w:tcMar>
              <w:left w:w="73" w:type="dxa"/>
            </w:tcMar>
          </w:tcPr>
          <w:p w:rsidR="00ED7F17" w:rsidRDefault="00ED7F17" w:rsidP="006F7358">
            <w:pPr>
              <w:jc w:val="both"/>
            </w:pPr>
            <w:r>
              <w:t>МЗ АО, ГБУЗ АО АМОКБ, главные внештатные специалисты: кардиолог, скорой медицинской помощи, главные врачи МО АО</w:t>
            </w:r>
          </w:p>
        </w:tc>
        <w:tc>
          <w:tcPr>
            <w:tcW w:w="4665" w:type="dxa"/>
            <w:gridSpan w:val="4"/>
            <w:tcBorders>
              <w:left w:val="single" w:sz="4" w:space="0" w:color="00000A"/>
              <w:bottom w:val="single" w:sz="4" w:space="0" w:color="00000A"/>
              <w:right w:val="single" w:sz="4" w:space="0" w:color="00000A"/>
            </w:tcBorders>
            <w:shd w:val="clear" w:color="auto" w:fill="FFFFFF"/>
            <w:tcMar>
              <w:left w:w="73" w:type="dxa"/>
            </w:tcMar>
          </w:tcPr>
          <w:p w:rsidR="00ED7F17" w:rsidRDefault="00ED7F17" w:rsidP="006F7358">
            <w:pPr>
              <w:tabs>
                <w:tab w:val="left" w:pos="720"/>
              </w:tabs>
              <w:jc w:val="both"/>
            </w:pPr>
            <w:r>
              <w:t>Обеспечена возможность передачи на расстояние ЭКГ для расшифровки из не менее, чем 75% бригад (автомобилей) СМП.</w:t>
            </w:r>
          </w:p>
        </w:tc>
      </w:tr>
      <w:tr w:rsidR="00ED7F17" w:rsidTr="00274256">
        <w:trPr>
          <w:gridBefore w:val="1"/>
          <w:wBefore w:w="13" w:type="dxa"/>
          <w:trHeight w:val="57"/>
          <w:jc w:val="right"/>
        </w:trPr>
        <w:tc>
          <w:tcPr>
            <w:tcW w:w="1123" w:type="dxa"/>
            <w:gridSpan w:val="2"/>
            <w:tcBorders>
              <w:left w:val="single" w:sz="4" w:space="0" w:color="00000A"/>
              <w:bottom w:val="single" w:sz="4" w:space="0" w:color="00000A"/>
              <w:right w:val="single" w:sz="4" w:space="0" w:color="00000A"/>
            </w:tcBorders>
            <w:shd w:val="clear" w:color="auto" w:fill="FFFFFF"/>
            <w:tcMar>
              <w:left w:w="73" w:type="dxa"/>
            </w:tcMar>
          </w:tcPr>
          <w:p w:rsidR="00ED7F17" w:rsidRDefault="00ED7F17" w:rsidP="006F7358">
            <w:pPr>
              <w:jc w:val="both"/>
            </w:pPr>
            <w:r>
              <w:t>7.11.</w:t>
            </w:r>
          </w:p>
        </w:tc>
        <w:tc>
          <w:tcPr>
            <w:tcW w:w="3222" w:type="dxa"/>
            <w:gridSpan w:val="2"/>
            <w:tcBorders>
              <w:left w:val="single" w:sz="4" w:space="0" w:color="00000A"/>
              <w:bottom w:val="single" w:sz="4" w:space="0" w:color="00000A"/>
              <w:right w:val="single" w:sz="4" w:space="0" w:color="00000A"/>
            </w:tcBorders>
            <w:shd w:val="clear" w:color="auto" w:fill="FFFFFF"/>
            <w:tcMar>
              <w:left w:w="73" w:type="dxa"/>
            </w:tcMar>
          </w:tcPr>
          <w:p w:rsidR="00ED7F17" w:rsidRDefault="00ED7F17" w:rsidP="006F7358">
            <w:pPr>
              <w:jc w:val="both"/>
            </w:pPr>
            <w:r>
              <w:t>Обеспение доли догоспитальной   ТЛТ при ОКС при наличии медицинских показаний в пределах утвержденного норматива</w:t>
            </w:r>
          </w:p>
        </w:tc>
        <w:tc>
          <w:tcPr>
            <w:tcW w:w="2341" w:type="dxa"/>
            <w:gridSpan w:val="5"/>
            <w:tcBorders>
              <w:left w:val="single" w:sz="4" w:space="0" w:color="00000A"/>
              <w:bottom w:val="single" w:sz="4" w:space="0" w:color="00000A"/>
              <w:right w:val="single" w:sz="4" w:space="0" w:color="00000A"/>
            </w:tcBorders>
            <w:shd w:val="clear" w:color="auto" w:fill="FFFFFF"/>
            <w:tcMar>
              <w:left w:w="73" w:type="dxa"/>
            </w:tcMar>
          </w:tcPr>
          <w:p w:rsidR="00ED7F17" w:rsidRDefault="00ED7F17" w:rsidP="006F7358">
            <w:pPr>
              <w:jc w:val="both"/>
              <w:rPr>
                <w:color w:val="000000"/>
              </w:rPr>
            </w:pPr>
            <w:r>
              <w:t>01.01.2019</w:t>
            </w:r>
          </w:p>
        </w:tc>
        <w:tc>
          <w:tcPr>
            <w:tcW w:w="1515" w:type="dxa"/>
            <w:gridSpan w:val="2"/>
            <w:tcBorders>
              <w:left w:val="single" w:sz="4" w:space="0" w:color="00000A"/>
              <w:bottom w:val="single" w:sz="4" w:space="0" w:color="00000A"/>
              <w:right w:val="single" w:sz="4" w:space="0" w:color="00000A"/>
            </w:tcBorders>
            <w:shd w:val="clear" w:color="auto" w:fill="FFFFFF"/>
            <w:tcMar>
              <w:left w:w="73" w:type="dxa"/>
            </w:tcMar>
          </w:tcPr>
          <w:p w:rsidR="00ED7F17" w:rsidRDefault="00ED7F17" w:rsidP="006F7358">
            <w:pPr>
              <w:jc w:val="both"/>
              <w:rPr>
                <w:color w:val="000000"/>
              </w:rPr>
            </w:pPr>
            <w:r>
              <w:t>31.12.2024</w:t>
            </w:r>
          </w:p>
        </w:tc>
        <w:tc>
          <w:tcPr>
            <w:tcW w:w="2614" w:type="dxa"/>
            <w:gridSpan w:val="3"/>
            <w:tcBorders>
              <w:left w:val="single" w:sz="4" w:space="0" w:color="00000A"/>
              <w:bottom w:val="single" w:sz="4" w:space="0" w:color="00000A"/>
              <w:right w:val="single" w:sz="4" w:space="0" w:color="00000A"/>
            </w:tcBorders>
            <w:shd w:val="clear" w:color="auto" w:fill="FFFFFF"/>
            <w:tcMar>
              <w:left w:w="73" w:type="dxa"/>
            </w:tcMar>
          </w:tcPr>
          <w:p w:rsidR="00ED7F17" w:rsidRDefault="00ED7F17" w:rsidP="006F7358">
            <w:pPr>
              <w:jc w:val="both"/>
            </w:pPr>
            <w:r>
              <w:t>главный специалист по скорой медицинской помощи МЗ АО, главный врач ГБУЗ АО «ЦМК и СМП», главный внештатный специалист кардиолог МЗ АО,</w:t>
            </w:r>
          </w:p>
          <w:p w:rsidR="00ED7F17" w:rsidRDefault="00ED7F17" w:rsidP="006F7358">
            <w:pPr>
              <w:jc w:val="both"/>
            </w:pPr>
            <w:r>
              <w:t>главные врачи МО АО.</w:t>
            </w:r>
          </w:p>
        </w:tc>
        <w:tc>
          <w:tcPr>
            <w:tcW w:w="4665" w:type="dxa"/>
            <w:gridSpan w:val="4"/>
            <w:tcBorders>
              <w:left w:val="single" w:sz="4" w:space="0" w:color="00000A"/>
              <w:bottom w:val="single" w:sz="4" w:space="0" w:color="00000A"/>
              <w:right w:val="single" w:sz="4" w:space="0" w:color="00000A"/>
            </w:tcBorders>
            <w:shd w:val="clear" w:color="auto" w:fill="FFFFFF"/>
            <w:tcMar>
              <w:left w:w="73" w:type="dxa"/>
            </w:tcMar>
          </w:tcPr>
          <w:p w:rsidR="00ED7F17" w:rsidRDefault="00ED7F17" w:rsidP="006F7358">
            <w:pPr>
              <w:jc w:val="both"/>
            </w:pPr>
            <w:r>
              <w:t>Сохранение доли догоспитальной ТЛТ на уровне 30% от общего числа ТЛТ</w:t>
            </w:r>
          </w:p>
        </w:tc>
      </w:tr>
      <w:tr w:rsidR="00ED7F17" w:rsidTr="00274256">
        <w:trPr>
          <w:gridBefore w:val="1"/>
          <w:wBefore w:w="13" w:type="dxa"/>
          <w:trHeight w:val="57"/>
          <w:jc w:val="right"/>
        </w:trPr>
        <w:tc>
          <w:tcPr>
            <w:tcW w:w="1123" w:type="dxa"/>
            <w:gridSpan w:val="2"/>
            <w:tcBorders>
              <w:top w:val="single" w:sz="4" w:space="0" w:color="00000A"/>
              <w:left w:val="single" w:sz="4" w:space="0" w:color="00000A"/>
              <w:bottom w:val="single" w:sz="4" w:space="0" w:color="00000A"/>
              <w:right w:val="single" w:sz="4" w:space="0" w:color="00000A"/>
            </w:tcBorders>
            <w:shd w:val="clear" w:color="auto" w:fill="FFFFFF"/>
            <w:tcMar>
              <w:left w:w="73" w:type="dxa"/>
            </w:tcMar>
          </w:tcPr>
          <w:p w:rsidR="00ED7F17" w:rsidRDefault="00ED7F17" w:rsidP="006F7358">
            <w:pPr>
              <w:jc w:val="both"/>
            </w:pPr>
            <w:r>
              <w:t>7.12.</w:t>
            </w:r>
          </w:p>
        </w:tc>
        <w:tc>
          <w:tcPr>
            <w:tcW w:w="3222" w:type="dxa"/>
            <w:gridSpan w:val="2"/>
            <w:tcBorders>
              <w:top w:val="single" w:sz="4" w:space="0" w:color="00000A"/>
              <w:left w:val="single" w:sz="4" w:space="0" w:color="00000A"/>
              <w:bottom w:val="single" w:sz="4" w:space="0" w:color="00000A"/>
              <w:right w:val="single" w:sz="4" w:space="0" w:color="00000A"/>
            </w:tcBorders>
            <w:shd w:val="clear" w:color="auto" w:fill="FFFFFF"/>
            <w:tcMar>
              <w:left w:w="73" w:type="dxa"/>
            </w:tcMar>
          </w:tcPr>
          <w:p w:rsidR="00ED7F17" w:rsidRDefault="00ED7F17" w:rsidP="006F7358">
            <w:pPr>
              <w:jc w:val="both"/>
            </w:pPr>
            <w:r>
              <w:t>С целью повышения уровня профессиональных знаний медицинских работников, участвующих в оказании скорой медицинской помощи (врачей скорой и неотложной медицинской помощи, врачей терапевтов, ОВП, фельдшеров ФАП)</w:t>
            </w:r>
            <w:r>
              <w:rPr>
                <w:rFonts w:eastAsia="Andale Sans UI"/>
              </w:rPr>
              <w:t xml:space="preserve"> создано 7 видео- лекций дистанционного цикла по ССЗ и организовано обучение </w:t>
            </w:r>
          </w:p>
          <w:p w:rsidR="00ED7F17" w:rsidRDefault="00ED7F17" w:rsidP="006F7358">
            <w:pPr>
              <w:jc w:val="both"/>
            </w:pPr>
          </w:p>
        </w:tc>
        <w:tc>
          <w:tcPr>
            <w:tcW w:w="2341" w:type="dxa"/>
            <w:gridSpan w:val="5"/>
            <w:tcBorders>
              <w:top w:val="single" w:sz="4" w:space="0" w:color="00000A"/>
              <w:left w:val="single" w:sz="4" w:space="0" w:color="00000A"/>
              <w:bottom w:val="single" w:sz="4" w:space="0" w:color="00000A"/>
              <w:right w:val="single" w:sz="4" w:space="0" w:color="00000A"/>
            </w:tcBorders>
            <w:shd w:val="clear" w:color="auto" w:fill="FFFFFF"/>
            <w:tcMar>
              <w:left w:w="73" w:type="dxa"/>
            </w:tcMar>
          </w:tcPr>
          <w:p w:rsidR="00ED7F17" w:rsidRDefault="00ED7F17" w:rsidP="006F7358">
            <w:pPr>
              <w:jc w:val="both"/>
              <w:rPr>
                <w:color w:val="000000" w:themeColor="text1"/>
              </w:rPr>
            </w:pPr>
            <w: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FFFFFF"/>
            <w:tcMar>
              <w:left w:w="73" w:type="dxa"/>
            </w:tcMar>
          </w:tcPr>
          <w:p w:rsidR="00ED7F17" w:rsidRDefault="00ED7F17" w:rsidP="006F7358">
            <w:pPr>
              <w:jc w:val="both"/>
              <w:rPr>
                <w:color w:val="000000" w:themeColor="text1"/>
              </w:rPr>
            </w:pPr>
            <w:r>
              <w:t>31.10.2019</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FFFFFF"/>
            <w:tcMar>
              <w:left w:w="73" w:type="dxa"/>
            </w:tcMar>
          </w:tcPr>
          <w:p w:rsidR="00ED7F17" w:rsidRDefault="00ED7F17" w:rsidP="006F7358">
            <w:pPr>
              <w:jc w:val="both"/>
              <w:rPr>
                <w:color w:val="000000"/>
              </w:rPr>
            </w:pPr>
            <w:r>
              <w:t>главный специалист по скорой медицинской помощи МЗ АО, главный врач ГБУЗ АО «ЦМК И СМП», главный внештатный специалист кардиолог МЗ АО,</w:t>
            </w:r>
          </w:p>
          <w:p w:rsidR="00ED7F17" w:rsidRDefault="00ED7F17" w:rsidP="006F7358">
            <w:pPr>
              <w:jc w:val="both"/>
            </w:pPr>
            <w:r>
              <w:t>главные врачи МО АО</w:t>
            </w:r>
          </w:p>
        </w:tc>
        <w:tc>
          <w:tcPr>
            <w:tcW w:w="4665" w:type="dxa"/>
            <w:gridSpan w:val="4"/>
            <w:tcBorders>
              <w:top w:val="single" w:sz="4" w:space="0" w:color="00000A"/>
              <w:left w:val="single" w:sz="4" w:space="0" w:color="00000A"/>
              <w:bottom w:val="single" w:sz="4" w:space="0" w:color="00000A"/>
              <w:right w:val="single" w:sz="4" w:space="0" w:color="00000A"/>
            </w:tcBorders>
            <w:shd w:val="clear" w:color="auto" w:fill="FFFFFF"/>
            <w:tcMar>
              <w:left w:w="73" w:type="dxa"/>
            </w:tcMar>
          </w:tcPr>
          <w:p w:rsidR="00ED7F17" w:rsidRDefault="00ED7F17" w:rsidP="006F7358">
            <w:pPr>
              <w:pStyle w:val="Textbody"/>
              <w:spacing w:after="0"/>
              <w:jc w:val="both"/>
            </w:pPr>
            <w:r>
              <w:rPr>
                <w:rFonts w:cs="Times New Roman"/>
                <w:lang w:eastAsia="ru-RU"/>
              </w:rPr>
              <w:t>По итогам проведенного обучения 1 раз в полгода сдача зачета сотрудниками бригад СМП, города Астрахани и Астраханской области  с охватом не менее (90%) слушателей</w:t>
            </w:r>
          </w:p>
          <w:p w:rsidR="00ED7F17" w:rsidRDefault="00ED7F17" w:rsidP="006F7358">
            <w:pPr>
              <w:jc w:val="both"/>
            </w:pPr>
          </w:p>
        </w:tc>
      </w:tr>
      <w:tr w:rsidR="00ED7F17" w:rsidTr="00274256">
        <w:trPr>
          <w:gridBefore w:val="1"/>
          <w:wBefore w:w="13" w:type="dxa"/>
          <w:trHeight w:val="57"/>
          <w:jc w:val="right"/>
        </w:trPr>
        <w:tc>
          <w:tcPr>
            <w:tcW w:w="1123" w:type="dxa"/>
            <w:gridSpan w:val="2"/>
            <w:tcBorders>
              <w:top w:val="single" w:sz="4" w:space="0" w:color="00000A"/>
              <w:left w:val="single" w:sz="4" w:space="0" w:color="00000A"/>
              <w:bottom w:val="single" w:sz="4" w:space="0" w:color="00000A"/>
              <w:right w:val="single" w:sz="4" w:space="0" w:color="00000A"/>
            </w:tcBorders>
            <w:shd w:val="clear" w:color="auto" w:fill="FFFFFF"/>
            <w:tcMar>
              <w:left w:w="73" w:type="dxa"/>
            </w:tcMar>
          </w:tcPr>
          <w:p w:rsidR="00ED7F17" w:rsidRDefault="00ED7F17" w:rsidP="006F7358">
            <w:pPr>
              <w:jc w:val="both"/>
            </w:pPr>
            <w:r>
              <w:t>7.13</w:t>
            </w:r>
          </w:p>
        </w:tc>
        <w:tc>
          <w:tcPr>
            <w:tcW w:w="3222"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pStyle w:val="Standard"/>
              <w:jc w:val="both"/>
            </w:pPr>
            <w:r>
              <w:rPr>
                <w:rFonts w:cs="Times New Roman"/>
                <w:lang w:eastAsia="ru-RU"/>
              </w:rPr>
              <w:t>Алгоритмизация диспетчерского опроса, позволяющая выявлять больных, наиболее нуждающихся в оказании медицинской помощи при ОКС, ОНМК, а также в проведении догоспитальной ТЛТ</w:t>
            </w:r>
          </w:p>
          <w:p w:rsidR="00ED7F17" w:rsidRDefault="00ED7F17" w:rsidP="006F7358">
            <w:pPr>
              <w:pStyle w:val="Standard"/>
              <w:jc w:val="both"/>
              <w:rPr>
                <w:rFonts w:cs="Times New Roman"/>
                <w:lang w:eastAsia="ru-RU"/>
              </w:rPr>
            </w:pPr>
          </w:p>
        </w:tc>
        <w:tc>
          <w:tcPr>
            <w:tcW w:w="2341" w:type="dxa"/>
            <w:gridSpan w:val="5"/>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pStyle w:val="afe"/>
              <w:jc w:val="both"/>
              <w:rPr>
                <w:rFonts w:cs="Times New Roman"/>
              </w:rPr>
            </w:pPr>
            <w:r>
              <w:rPr>
                <w:rFonts w:cs="Times New Roman"/>
                <w:lang w:eastAsia="ru-RU"/>
              </w:rP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pStyle w:val="Standard"/>
              <w:jc w:val="both"/>
              <w:rPr>
                <w:rFonts w:cs="Times New Roman"/>
              </w:rPr>
            </w:pPr>
            <w:r>
              <w:rPr>
                <w:rFonts w:cs="Times New Roman"/>
                <w:lang w:eastAsia="ru-RU"/>
              </w:rP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FFFFFF"/>
            <w:tcMar>
              <w:left w:w="73" w:type="dxa"/>
            </w:tcMar>
          </w:tcPr>
          <w:p w:rsidR="00ED7F17" w:rsidRDefault="00ED7F17" w:rsidP="006F7358">
            <w:pPr>
              <w:jc w:val="both"/>
            </w:pPr>
            <w:r>
              <w:t>главный специалист по скорой медицинской помощи МЗ АО, главный врач ГБУЗ АО «ЦМК И СМП», главный внештатный специалисты: невролог и  кардиолог МЗ АО,</w:t>
            </w:r>
          </w:p>
          <w:p w:rsidR="00ED7F17" w:rsidRDefault="00ED7F17" w:rsidP="006F7358">
            <w:pPr>
              <w:jc w:val="both"/>
            </w:pPr>
            <w:r>
              <w:t>главные врачи МО АО</w:t>
            </w:r>
          </w:p>
        </w:tc>
        <w:tc>
          <w:tcPr>
            <w:tcW w:w="4665" w:type="dxa"/>
            <w:gridSpan w:val="4"/>
            <w:tcBorders>
              <w:top w:val="single" w:sz="4" w:space="0" w:color="00000A"/>
              <w:left w:val="single" w:sz="4" w:space="0" w:color="00000A"/>
              <w:bottom w:val="single" w:sz="4" w:space="0" w:color="00000A"/>
              <w:right w:val="single" w:sz="4" w:space="0" w:color="00000A"/>
            </w:tcBorders>
            <w:shd w:val="clear" w:color="auto" w:fill="FFFFFF"/>
            <w:tcMar>
              <w:left w:w="73" w:type="dxa"/>
            </w:tcMar>
          </w:tcPr>
          <w:p w:rsidR="00ED7F17" w:rsidRDefault="00ED7F17" w:rsidP="006F7358">
            <w:pPr>
              <w:pStyle w:val="Textbody"/>
              <w:spacing w:after="0"/>
              <w:jc w:val="both"/>
            </w:pPr>
            <w:r>
              <w:rPr>
                <w:rFonts w:cs="Times New Roman"/>
                <w:lang w:eastAsia="ru-RU"/>
              </w:rPr>
              <w:t>Приоритетный выезд СМП при ОКС,ОНМК первоочередная транспортировка с предварительным информированием принимающего стационара; обеспечено обучение диспетчеров и выездного персонала СМП методикам диагностики и догоспитального лечения ОКС и ОНМК</w:t>
            </w:r>
          </w:p>
        </w:tc>
      </w:tr>
      <w:tr w:rsidR="00ED7F17" w:rsidTr="00274256">
        <w:trPr>
          <w:gridBefore w:val="1"/>
          <w:wBefore w:w="13" w:type="dxa"/>
          <w:trHeight w:val="57"/>
          <w:jc w:val="right"/>
        </w:trPr>
        <w:tc>
          <w:tcPr>
            <w:tcW w:w="1123" w:type="dxa"/>
            <w:gridSpan w:val="2"/>
            <w:tcBorders>
              <w:top w:val="single" w:sz="4" w:space="0" w:color="00000A"/>
              <w:left w:val="single" w:sz="4" w:space="0" w:color="00000A"/>
              <w:bottom w:val="single" w:sz="4" w:space="0" w:color="00000A"/>
              <w:right w:val="single" w:sz="4" w:space="0" w:color="00000A"/>
            </w:tcBorders>
            <w:shd w:val="clear" w:color="auto" w:fill="FFFFFF"/>
            <w:tcMar>
              <w:left w:w="73" w:type="dxa"/>
            </w:tcMar>
          </w:tcPr>
          <w:p w:rsidR="00ED7F17" w:rsidRDefault="00ED7F17" w:rsidP="006F7358">
            <w:pPr>
              <w:jc w:val="both"/>
            </w:pPr>
            <w:r>
              <w:t>7.13.1.</w:t>
            </w:r>
          </w:p>
        </w:tc>
        <w:tc>
          <w:tcPr>
            <w:tcW w:w="3222"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pStyle w:val="Standard"/>
              <w:jc w:val="both"/>
            </w:pPr>
            <w:r>
              <w:rPr>
                <w:rFonts w:cs="Times New Roman"/>
              </w:rPr>
              <w:t xml:space="preserve">Актуализация и внедрение алгоритма </w:t>
            </w:r>
            <w:r>
              <w:rPr>
                <w:rFonts w:cs="Times New Roman"/>
                <w:lang w:eastAsia="ru-RU"/>
              </w:rPr>
              <w:t>диспетчерского опроса, с целью выявления больных, наиболее нуждающихся в оказании медицинской помощи при ОКС, ОНМК</w:t>
            </w:r>
          </w:p>
        </w:tc>
        <w:tc>
          <w:tcPr>
            <w:tcW w:w="2341" w:type="dxa"/>
            <w:gridSpan w:val="5"/>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pStyle w:val="afe"/>
              <w:jc w:val="both"/>
              <w:rPr>
                <w:rFonts w:cs="Times New Roman"/>
              </w:rPr>
            </w:pPr>
            <w:r>
              <w:rPr>
                <w:rFonts w:cs="Times New Roman"/>
                <w:lang w:eastAsia="ru-RU"/>
              </w:rP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pStyle w:val="Standard"/>
              <w:jc w:val="both"/>
              <w:rPr>
                <w:rFonts w:cs="Times New Roman"/>
              </w:rPr>
            </w:pPr>
            <w:r>
              <w:rPr>
                <w:rFonts w:cs="Times New Roman"/>
                <w:lang w:eastAsia="ru-RU"/>
              </w:rP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FFFFFF"/>
            <w:tcMar>
              <w:left w:w="73" w:type="dxa"/>
            </w:tcMar>
          </w:tcPr>
          <w:p w:rsidR="00ED7F17" w:rsidRDefault="00ED7F17" w:rsidP="006F7358">
            <w:pPr>
              <w:jc w:val="both"/>
            </w:pPr>
            <w:r>
              <w:t>Главные врачи МО,</w:t>
            </w:r>
          </w:p>
          <w:p w:rsidR="00ED7F17" w:rsidRDefault="00ED7F17" w:rsidP="006F7358">
            <w:pPr>
              <w:jc w:val="both"/>
            </w:pPr>
            <w:r>
              <w:t>главный внештатный специалист по скорой медицинской помощи МЗ АО</w:t>
            </w:r>
          </w:p>
        </w:tc>
        <w:tc>
          <w:tcPr>
            <w:tcW w:w="4665" w:type="dxa"/>
            <w:gridSpan w:val="4"/>
            <w:tcBorders>
              <w:top w:val="single" w:sz="4" w:space="0" w:color="00000A"/>
              <w:left w:val="single" w:sz="4" w:space="0" w:color="00000A"/>
              <w:bottom w:val="single" w:sz="4" w:space="0" w:color="00000A"/>
              <w:right w:val="single" w:sz="4" w:space="0" w:color="00000A"/>
            </w:tcBorders>
            <w:shd w:val="clear" w:color="auto" w:fill="FFFFFF"/>
            <w:tcMar>
              <w:left w:w="73" w:type="dxa"/>
            </w:tcMar>
          </w:tcPr>
          <w:p w:rsidR="00ED7F17" w:rsidRDefault="00ED7F17" w:rsidP="006F7358">
            <w:pPr>
              <w:pStyle w:val="Textbody"/>
              <w:spacing w:after="0"/>
              <w:jc w:val="both"/>
            </w:pPr>
            <w:r>
              <w:rPr>
                <w:rFonts w:cs="Times New Roman"/>
              </w:rPr>
              <w:t xml:space="preserve">Ежемесячный отчет МО АО главному внештатному специалисту по скорой медицинской помощи по внедрению алгоритма </w:t>
            </w:r>
            <w:r>
              <w:rPr>
                <w:rFonts w:cs="Times New Roman"/>
                <w:lang w:eastAsia="ru-RU"/>
              </w:rPr>
              <w:t>диспетчерского опроса</w:t>
            </w:r>
          </w:p>
        </w:tc>
      </w:tr>
      <w:tr w:rsidR="00ED7F17" w:rsidTr="00274256">
        <w:trPr>
          <w:trHeight w:val="57"/>
          <w:jc w:val="right"/>
        </w:trPr>
        <w:tc>
          <w:tcPr>
            <w:tcW w:w="15493" w:type="dxa"/>
            <w:gridSpan w:val="19"/>
            <w:tcBorders>
              <w:top w:val="single" w:sz="4" w:space="0" w:color="00000A"/>
              <w:left w:val="single" w:sz="4" w:space="0" w:color="00000A"/>
              <w:bottom w:val="single" w:sz="4" w:space="0" w:color="00000A"/>
              <w:right w:val="single" w:sz="4" w:space="0" w:color="00000A"/>
            </w:tcBorders>
            <w:shd w:val="clear" w:color="auto" w:fill="auto"/>
            <w:tcMar>
              <w:left w:w="88" w:type="dxa"/>
            </w:tcMar>
            <w:vAlign w:val="center"/>
          </w:tcPr>
          <w:p w:rsidR="00ED7F17" w:rsidRDefault="00ED7F17" w:rsidP="006F7358">
            <w:pPr>
              <w:jc w:val="both"/>
              <w:rPr>
                <w:color w:val="000000"/>
              </w:rPr>
            </w:pPr>
            <w:r>
              <w:rPr>
                <w:b/>
                <w:bCs/>
                <w:color w:val="000000"/>
              </w:rPr>
              <w:t>8</w:t>
            </w:r>
            <w:r>
              <w:rPr>
                <w:color w:val="000000"/>
              </w:rPr>
              <w:t xml:space="preserve">. </w:t>
            </w:r>
            <w:r>
              <w:rPr>
                <w:b/>
                <w:bCs/>
                <w:color w:val="000000"/>
              </w:rPr>
              <w:t>Развитие структуры специализированной, в том числе высокотехнологичной медицинской помощи.</w:t>
            </w:r>
          </w:p>
        </w:tc>
      </w:tr>
      <w:tr w:rsidR="00ED7F17" w:rsidTr="00274256">
        <w:trPr>
          <w:trHeight w:val="162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8.1.</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Выполнение распоряжения министерства здравоохранения Астраханской области от 28.06.2013. №540р по реализации маршрутизации пациентов с ССЗ с последующей его актуализацией в случае изменений условий оказания медицинской помощи в Астраханской области.</w:t>
            </w:r>
          </w:p>
          <w:p w:rsidR="00ED7F17" w:rsidRDefault="00ED7F17" w:rsidP="006F7358">
            <w:pPr>
              <w:jc w:val="both"/>
            </w:pP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01.08.2024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Главные врачи МО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Обеспечение доли больных с ОКС и ОНМК, госпитализированных в профильные специализированные отделения (РСЦ, ПСО или в кардиологические отделения с круглосуточной палатой реанимации и интенсивной терапии (ПРИТ) и БИТР, не менее 95%;</w:t>
            </w:r>
          </w:p>
        </w:tc>
      </w:tr>
      <w:tr w:rsidR="00ED7F17" w:rsidTr="00274256">
        <w:trPr>
          <w:trHeight w:val="162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8.1.1.</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 xml:space="preserve">Издание распоряжение о маршрутизации </w:t>
            </w:r>
            <w:r>
              <w:t>больных с ССЗ с последующей его актуализацией в случае изменений условий оказания медицинской помощи в период переоснащения /дооснащения РСЦ и ПСО</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01.08.2024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МЗ АО, главные внештатные специалисты МЗ АО: кардиолог и невролог</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 xml:space="preserve">Распоряжение о маршрутизации </w:t>
            </w:r>
            <w:r>
              <w:t>больных с ССЗ с последующей его актуализацией в случае изменений условий оказания медицинской помощи в период переоснащения /дооснащения РСЦ и ПСО</w:t>
            </w:r>
          </w:p>
        </w:tc>
      </w:tr>
      <w:tr w:rsidR="00ED7F17" w:rsidTr="00274256">
        <w:trPr>
          <w:trHeight w:val="162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8.1.1.2.</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Издание распоряжения МЗ АО о ежеквартальной проверке маршрутизации больных с ОКС и ОНМК</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01.08.2024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МЗ АО, главные внештатные специалисты МЗ АО: кардиолог и невролог</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Распоряжение о ежеквартальной проверке маршрутизации больных с ОКС и ОНМК</w:t>
            </w:r>
          </w:p>
        </w:tc>
      </w:tr>
      <w:tr w:rsidR="00ED7F17" w:rsidTr="00274256">
        <w:trPr>
          <w:trHeight w:val="162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8.1.1.3.</w:t>
            </w:r>
          </w:p>
        </w:tc>
        <w:tc>
          <w:tcPr>
            <w:tcW w:w="3222"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 xml:space="preserve">Обеспечение ежеквартальной проверки выполнения распоряжения о маршрутизации больных </w:t>
            </w:r>
            <w:r>
              <w:t>с ОКС и ОНМК по данным медицинской документации.</w:t>
            </w:r>
          </w:p>
        </w:tc>
        <w:tc>
          <w:tcPr>
            <w:tcW w:w="2341"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01.08.2024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МЗ АО,  главные внештатные специалисты МЗ АО: кардиолог и невролог, г</w:t>
            </w:r>
            <w:r>
              <w:rPr>
                <w:color w:val="000000"/>
              </w:rPr>
              <w:t>лавные врачи МО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 xml:space="preserve">Ежеквартальный отчет главных внештатных специалистов по итогам проверки о соблюдении маршрутизации </w:t>
            </w:r>
            <w:r>
              <w:t>больных с ОКС и/или ОНМК, принятие управленческих решений в МЗ АО по результатам отчета</w:t>
            </w:r>
          </w:p>
        </w:tc>
      </w:tr>
      <w:tr w:rsidR="00ED7F17" w:rsidTr="00274256">
        <w:trPr>
          <w:trHeight w:val="162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8.2.</w:t>
            </w:r>
          </w:p>
        </w:tc>
        <w:tc>
          <w:tcPr>
            <w:tcW w:w="3222"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 xml:space="preserve">Издание распоряжения об обязательной оценке показаний к проведению оперативного лечения и маршрутизации пациентов с гемодинамически значимыми стенозами БЦА с </w:t>
            </w:r>
            <w:r>
              <w:t>занесением результатов в медицинскую документацию.</w:t>
            </w:r>
          </w:p>
        </w:tc>
        <w:tc>
          <w:tcPr>
            <w:tcW w:w="2341"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01.09.2019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31.11.2019</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МЗ АО, главный внештатные специалисты МЗ АО: невролог и  сосудистый хирург, главные врачи МО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 xml:space="preserve">Распоряжение об обязательной оценке показаний к проведению оперативного лечения и маршрутизации пациентов с гемодинамически значимыми стенозами БЦА с </w:t>
            </w:r>
            <w:r>
              <w:t>занесением результатов в медицинскую документацию.</w:t>
            </w:r>
          </w:p>
        </w:tc>
      </w:tr>
      <w:tr w:rsidR="00ED7F17" w:rsidTr="00274256">
        <w:trPr>
          <w:trHeight w:val="162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8.2.1.</w:t>
            </w:r>
          </w:p>
        </w:tc>
        <w:tc>
          <w:tcPr>
            <w:tcW w:w="3222"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Внедрение ежемесячного мониторинга выполнения операций у пациентов с гемодинамически значимыми стенозами БЦА в МО АО</w:t>
            </w:r>
          </w:p>
        </w:tc>
        <w:tc>
          <w:tcPr>
            <w:tcW w:w="2341"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01.09.2019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31.11.2019</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МЗ АО, главный внештатные специалисты МЗ АО: невролог и  сердечно-сосудистый хирург,  рентгенэндоваскулярный хирург, главные врачи РСЦ и ПСО, главные врачи МО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Внедрен ежемесячный мониторинг выполнения операций у пациентов с гемодинамически значимыми стенозами БЦА в МО АО. Анализ данных мониторинга для принятия управленческих решений</w:t>
            </w:r>
          </w:p>
        </w:tc>
      </w:tr>
      <w:tr w:rsidR="00ED7F17" w:rsidTr="00274256">
        <w:trPr>
          <w:trHeight w:val="162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8.2.2.</w:t>
            </w:r>
          </w:p>
        </w:tc>
        <w:tc>
          <w:tcPr>
            <w:tcW w:w="3222"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Ведение ежемесячного мониторинга выполнения операций у пациентов с гемодинамически значимыми стенозами БЦА В МО АО</w:t>
            </w:r>
          </w:p>
        </w:tc>
        <w:tc>
          <w:tcPr>
            <w:tcW w:w="2341"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01.09.2019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Главные врачи МО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Отчеты главных врачей МО АО</w:t>
            </w:r>
          </w:p>
          <w:p w:rsidR="00ED7F17" w:rsidRDefault="00ED7F17" w:rsidP="006F7358">
            <w:pPr>
              <w:jc w:val="both"/>
            </w:pPr>
            <w:r>
              <w:rPr>
                <w:color w:val="000000"/>
              </w:rPr>
              <w:t>о внедрении ежемесячного мониторинга выполнения операций у пациентов с гемодинамически значимыми стенозами БЦА в МО АО</w:t>
            </w:r>
          </w:p>
        </w:tc>
      </w:tr>
      <w:tr w:rsidR="00ED7F17" w:rsidTr="00274256">
        <w:trPr>
          <w:trHeight w:val="162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8.2.3.</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Осуществление контроля за ведением мониторинга операций у пациентов с гемодинамически значимыми стенозами БЦА</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 xml:space="preserve">МЗ АО, </w:t>
            </w:r>
          </w:p>
          <w:p w:rsidR="00ED7F17" w:rsidRDefault="00ED7F17" w:rsidP="006F7358">
            <w:pPr>
              <w:jc w:val="both"/>
            </w:pPr>
            <w:r>
              <w:rPr>
                <w:color w:val="000000"/>
              </w:rPr>
              <w:t xml:space="preserve">главные внештатные специалисты МЗ АО: </w:t>
            </w:r>
            <w:r>
              <w:t xml:space="preserve"> невролог,  сердечно-сосудистый хирург,  рентгенэндоваскулярный хирург, руководители РСЦ, ПСО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 xml:space="preserve">Ежеквартальные отчеты главных врачей МО АО (РСЦ, ПСО) о </w:t>
            </w:r>
            <w:r>
              <w:rPr>
                <w:color w:val="000000"/>
              </w:rPr>
              <w:t>выполнении ангиохирургических и нейрохирургических операций</w:t>
            </w:r>
            <w:r>
              <w:t xml:space="preserve"> </w:t>
            </w:r>
            <w:r>
              <w:rPr>
                <w:color w:val="000000"/>
              </w:rPr>
              <w:t>пациентам с геморрагическим инсультом по результатам проверок  медицинской документации.</w:t>
            </w:r>
          </w:p>
        </w:tc>
      </w:tr>
      <w:tr w:rsidR="00ED7F17" w:rsidTr="00274256">
        <w:trPr>
          <w:trHeight w:val="162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8.3.</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Ввнедрение метода реперфузионной терапии (тромбоэктомии) при ишемическом инсульте</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01.08.2019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01.09.2019</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МЗ АО, главные внештатные специалисты МЗ АО: рентгенэндоваскулярный хирург , невролог, нейрохирург</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 xml:space="preserve">Ежеквартальный отчет о проведении реперфузионной терапии </w:t>
            </w:r>
          </w:p>
        </w:tc>
      </w:tr>
      <w:tr w:rsidR="00ED7F17" w:rsidTr="00274256">
        <w:trPr>
          <w:trHeight w:val="162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8.4.</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Исполнение распоряжение о внедрении метода реперфузионной терапии (тромблэктомии) при ишемическом инсульте</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01.09.2019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31.12.2024</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Главные врачи МО, главный рентгенэндоваскулярный хирург , невролог МЗ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Предоставление МО АО ежеквартального отчета в МЗ АО для принятия управленческих решений</w:t>
            </w:r>
          </w:p>
        </w:tc>
      </w:tr>
      <w:tr w:rsidR="00ED7F17" w:rsidTr="00274256">
        <w:trPr>
          <w:trHeight w:val="162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8.5.</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Обучение медицинских работников РСЦ, ПСО ведению пациентов с геморрагическим инсультом после проведения ангиохирургических и нейрохирургических операций</w:t>
            </w:r>
            <w:r>
              <w:t>.</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31.12.2020</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МЗ АО,</w:t>
            </w:r>
          </w:p>
          <w:p w:rsidR="00ED7F17" w:rsidRDefault="00ED7F17" w:rsidP="006F7358">
            <w:pPr>
              <w:jc w:val="both"/>
            </w:pPr>
            <w:r>
              <w:t xml:space="preserve">Главные внештатные специалисты МЗ АО: главный невролог,  нейрохирург,  реаниматолог,  </w:t>
            </w:r>
            <w:r>
              <w:rPr>
                <w:color w:val="000000"/>
              </w:rPr>
              <w:t>рентгенэндоваскулярный хирург,</w:t>
            </w:r>
          </w:p>
          <w:p w:rsidR="00ED7F17" w:rsidRDefault="00ED7F17" w:rsidP="006F7358">
            <w:pPr>
              <w:jc w:val="both"/>
            </w:pPr>
            <w:r>
              <w:t>Главные врачи МО АО (РСЦ, ПСО)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t xml:space="preserve">Проведение практических тренингов по ведению </w:t>
            </w:r>
            <w:r>
              <w:rPr>
                <w:color w:val="000000"/>
              </w:rPr>
              <w:t>пациентов с геморрагическим инсультом после проведения ангиохирургических и нейрохирургических операций обучены все медицинские сотрудники соответствующих подразделений РСЦ, ПСО- ежеквартально.</w:t>
            </w:r>
          </w:p>
        </w:tc>
      </w:tr>
      <w:tr w:rsidR="00ED7F17" w:rsidTr="00274256">
        <w:trPr>
          <w:trHeight w:val="162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8.6.</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Разработка информационных материалов для обучения медицинских работников РСЦ, ПСО ведению пациентов с геморрагическим инсультом после проведения ангиохирургических и нейрохирургических операций и обеспечить организационно-методическую поддержку процесса изучения вопроса в РСЦ.</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01.09.2019</w:t>
            </w:r>
          </w:p>
        </w:tc>
        <w:tc>
          <w:tcPr>
            <w:tcW w:w="2614"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 xml:space="preserve">МЗ АО, </w:t>
            </w:r>
            <w:r>
              <w:rPr>
                <w:color w:val="000000"/>
              </w:rPr>
              <w:t xml:space="preserve">Главные внештатные специалисты – </w:t>
            </w:r>
            <w:r>
              <w:t>главный невролог, главный нейрохирург, главный реаниматолог МЗ АО</w:t>
            </w:r>
          </w:p>
        </w:tc>
        <w:tc>
          <w:tcPr>
            <w:tcW w:w="4682"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Предоставлены материалы для изучения в виде видео лекций.</w:t>
            </w:r>
          </w:p>
          <w:p w:rsidR="00ED7F17" w:rsidRDefault="00ED7F17" w:rsidP="006F7358">
            <w:pPr>
              <w:jc w:val="both"/>
              <w:rPr>
                <w:color w:val="000000"/>
              </w:rPr>
            </w:pPr>
            <w:r>
              <w:rPr>
                <w:color w:val="000000"/>
              </w:rPr>
              <w:t>Сформированы образовательные программы по ведению пациентов с ОНМК</w:t>
            </w:r>
          </w:p>
          <w:p w:rsidR="00ED7F17" w:rsidRDefault="00ED7F17" w:rsidP="006F7358">
            <w:pPr>
              <w:jc w:val="both"/>
            </w:pPr>
            <w:r>
              <w:rPr>
                <w:color w:val="000000"/>
              </w:rPr>
              <w:t>Разработан план-график сертификационного обучения специалистов, участвующих в оказании медицинской помощи пациентов с геморрагическим инсультом</w:t>
            </w:r>
          </w:p>
        </w:tc>
      </w:tr>
      <w:tr w:rsidR="00ED7F17" w:rsidTr="00274256">
        <w:trPr>
          <w:gridBefore w:val="1"/>
          <w:wBefore w:w="13" w:type="dxa"/>
          <w:trHeight w:val="57"/>
          <w:jc w:val="right"/>
        </w:trPr>
        <w:tc>
          <w:tcPr>
            <w:tcW w:w="15480" w:type="dxa"/>
            <w:gridSpan w:val="18"/>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rPr>
                <w:b/>
                <w:bCs/>
                <w:iCs/>
              </w:rPr>
            </w:pPr>
            <w:r>
              <w:rPr>
                <w:b/>
                <w:bCs/>
                <w:iCs/>
              </w:rPr>
              <w:t>9. Мероприятия по организации службы реабилитации пациентов с сердечно-сосудистыми заболеваниями</w:t>
            </w:r>
          </w:p>
        </w:tc>
      </w:tr>
      <w:tr w:rsidR="00ED7F17" w:rsidTr="00274256">
        <w:trPr>
          <w:gridBefore w:val="1"/>
          <w:wBefore w:w="13" w:type="dxa"/>
          <w:trHeight w:val="57"/>
          <w:jc w:val="right"/>
        </w:trPr>
        <w:tc>
          <w:tcPr>
            <w:tcW w:w="1123"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rPr>
                <w:bCs/>
                <w:color w:val="000000"/>
              </w:rPr>
            </w:pPr>
            <w:r>
              <w:rPr>
                <w:bCs/>
                <w:color w:val="000000"/>
              </w:rPr>
              <w:t>9.1</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Актуализация маршрутизации пациентов, нуждающихся в медицинской реабилитации с ССЗ</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rPr>
                <w:bCs/>
                <w:iCs/>
              </w:rPr>
            </w:pPr>
            <w:r>
              <w:rPr>
                <w:bCs/>
                <w:iCs/>
              </w:rPr>
              <w:t>01.09.2019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rPr>
                <w:bCs/>
                <w:iCs/>
              </w:rPr>
            </w:pPr>
            <w:r>
              <w:rPr>
                <w:bCs/>
                <w:iCs/>
              </w:rPr>
              <w:t>31.12.2019</w:t>
            </w:r>
          </w:p>
        </w:tc>
        <w:tc>
          <w:tcPr>
            <w:tcW w:w="3122" w:type="dxa"/>
            <w:gridSpan w:val="5"/>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rPr>
                <w:bCs/>
                <w:iCs/>
              </w:rPr>
              <w:t>МЗ АО, главный внештатный специалист по медицинской реабилитации МЗ АО</w:t>
            </w:r>
          </w:p>
        </w:tc>
        <w:tc>
          <w:tcPr>
            <w:tcW w:w="4157"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Принято распоряжение об утверждении маршрутизации пациентов по медицинской реабилитации</w:t>
            </w:r>
          </w:p>
        </w:tc>
      </w:tr>
      <w:tr w:rsidR="00ED7F17" w:rsidTr="00274256">
        <w:trPr>
          <w:gridBefore w:val="1"/>
          <w:wBefore w:w="13" w:type="dxa"/>
          <w:trHeight w:val="57"/>
          <w:jc w:val="right"/>
        </w:trPr>
        <w:tc>
          <w:tcPr>
            <w:tcW w:w="1123"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rPr>
                <w:bCs/>
                <w:color w:val="000000"/>
              </w:rPr>
            </w:pPr>
            <w:r>
              <w:rPr>
                <w:bCs/>
                <w:color w:val="000000"/>
              </w:rPr>
              <w:t>9.2.</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Обеспечение информированности пациентов с ССЗ о возможности/необходимости проведения реабилитации</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rPr>
                <w:bCs/>
                <w:iCs/>
              </w:rPr>
            </w:pPr>
            <w:r>
              <w:rPr>
                <w:bCs/>
                <w:iCs/>
              </w:rP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rPr>
                <w:bCs/>
                <w:iCs/>
              </w:rPr>
              <w:t>31.12.2019</w:t>
            </w:r>
          </w:p>
        </w:tc>
        <w:tc>
          <w:tcPr>
            <w:tcW w:w="3122" w:type="dxa"/>
            <w:gridSpan w:val="5"/>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rPr>
                <w:bCs/>
                <w:iCs/>
              </w:rPr>
              <w:t>Главные внештатные специалисты МЗ АО, главные врачи МО АО, участвующих в оказании первичной медико-санитарной помощи</w:t>
            </w:r>
          </w:p>
        </w:tc>
        <w:tc>
          <w:tcPr>
            <w:tcW w:w="4157"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Созданы/доработаны программы школ пациентов по нозологиям по информированности пациентов  о возможности/необходимости проведения реабилитации; созданы информационные материалы (плакаты в МО, флаеры, буклеты) о возможности/необходимости проведения реабилитации</w:t>
            </w:r>
          </w:p>
        </w:tc>
      </w:tr>
      <w:tr w:rsidR="00ED7F17" w:rsidTr="00274256">
        <w:trPr>
          <w:gridBefore w:val="1"/>
          <w:wBefore w:w="13" w:type="dxa"/>
          <w:trHeight w:val="57"/>
          <w:jc w:val="right"/>
        </w:trPr>
        <w:tc>
          <w:tcPr>
            <w:tcW w:w="1123"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rPr>
                <w:bCs/>
                <w:color w:val="000000"/>
              </w:rPr>
              <w:t>9.2.1.</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Информирование пациентов о возможности/необходимости проведения реабилитации: в виде устного оповещения каждого пациента; в виде публикации информационных материалов</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rPr>
                <w:bCs/>
                <w:iCs/>
              </w:rP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rPr>
                <w:bCs/>
                <w:iCs/>
              </w:rPr>
              <w:t>31.12.24</w:t>
            </w:r>
          </w:p>
        </w:tc>
        <w:tc>
          <w:tcPr>
            <w:tcW w:w="3122" w:type="dxa"/>
            <w:gridSpan w:val="5"/>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rPr>
                <w:bCs/>
                <w:iCs/>
              </w:rPr>
              <w:t>главные врачи МО АО</w:t>
            </w:r>
          </w:p>
        </w:tc>
        <w:tc>
          <w:tcPr>
            <w:tcW w:w="4157"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В медицинских организациях региона созданы школы пациентов, нуждающихся в медицинской реабилитации.</w:t>
            </w:r>
          </w:p>
          <w:p w:rsidR="00ED7F17" w:rsidRDefault="00ED7F17" w:rsidP="006F7358">
            <w:pPr>
              <w:jc w:val="both"/>
            </w:pPr>
            <w:r>
              <w:t>Проведение еженедельных лекций для пациентов о возможности/необходимости проведения реабилитации; в каждой МО размещено не менее 1 информационных плакатов о возможности/необходимости проведения реабилитации; роздано 1000 флаеров/буклетов с информацией о возможности/необходимости проведения реабилитации</w:t>
            </w:r>
          </w:p>
        </w:tc>
      </w:tr>
      <w:tr w:rsidR="00ED7F17" w:rsidTr="00274256">
        <w:trPr>
          <w:gridBefore w:val="1"/>
          <w:wBefore w:w="13" w:type="dxa"/>
          <w:trHeight w:val="57"/>
          <w:jc w:val="right"/>
        </w:trPr>
        <w:tc>
          <w:tcPr>
            <w:tcW w:w="1123"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rPr>
                <w:bCs/>
                <w:color w:val="000000"/>
              </w:rPr>
              <w:t>9.3.</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Обеспечение оснащенности МО АО медицинским оборудованием для проведения реабилитации (в соответствии с действующими стандартами)</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rPr>
                <w:color w:val="000000"/>
              </w:rPr>
            </w:pPr>
            <w:r>
              <w:rPr>
                <w:color w:val="000000"/>
              </w:rPr>
              <w:t>01.01.2020</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rPr>
                <w:color w:val="000000"/>
              </w:rPr>
            </w:pPr>
            <w:r>
              <w:rPr>
                <w:color w:val="000000"/>
              </w:rPr>
              <w:t>31.12.2024</w:t>
            </w:r>
          </w:p>
        </w:tc>
        <w:tc>
          <w:tcPr>
            <w:tcW w:w="3122" w:type="dxa"/>
            <w:gridSpan w:val="5"/>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rPr>
                <w:bCs/>
                <w:iCs/>
              </w:rPr>
              <w:t>МЗ АО, главные врачи МО АО</w:t>
            </w:r>
          </w:p>
        </w:tc>
        <w:tc>
          <w:tcPr>
            <w:tcW w:w="4157"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Проведено переоснащение/дооснащение медицинским оборудованием для ранней медицинской реабилитации в ПСО, РСЦ</w:t>
            </w:r>
          </w:p>
        </w:tc>
      </w:tr>
      <w:tr w:rsidR="00ED7F17" w:rsidTr="00274256">
        <w:trPr>
          <w:gridBefore w:val="1"/>
          <w:wBefore w:w="13" w:type="dxa"/>
          <w:trHeight w:val="57"/>
          <w:jc w:val="right"/>
        </w:trPr>
        <w:tc>
          <w:tcPr>
            <w:tcW w:w="1123" w:type="dxa"/>
            <w:gridSpan w:val="2"/>
            <w:tcBorders>
              <w:top w:val="single" w:sz="4" w:space="0" w:color="00000A"/>
              <w:left w:val="single" w:sz="4" w:space="0" w:color="00000A"/>
              <w:bottom w:val="single" w:sz="4" w:space="0" w:color="00000A"/>
              <w:right w:val="single" w:sz="4" w:space="0" w:color="00000A"/>
            </w:tcBorders>
            <w:shd w:val="clear" w:color="auto" w:fill="FFFFFF"/>
            <w:tcMar>
              <w:left w:w="73" w:type="dxa"/>
            </w:tcMar>
          </w:tcPr>
          <w:p w:rsidR="00ED7F17" w:rsidRDefault="00ED7F17" w:rsidP="006F7358">
            <w:pPr>
              <w:jc w:val="both"/>
            </w:pPr>
            <w:r>
              <w:rPr>
                <w:color w:val="000000" w:themeColor="text1"/>
              </w:rPr>
              <w:t>9.4.</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FFFFFF"/>
            <w:tcMar>
              <w:left w:w="73" w:type="dxa"/>
            </w:tcMar>
          </w:tcPr>
          <w:p w:rsidR="00ED7F17" w:rsidRDefault="00ED7F17" w:rsidP="006F7358">
            <w:pPr>
              <w:jc w:val="both"/>
            </w:pPr>
            <w:r>
              <w:rPr>
                <w:color w:val="000000" w:themeColor="text1"/>
              </w:rPr>
              <w:t>Обеспечение мультидисциплинарного подхода на этапах стационарного лечения пациентов с ОНМК/ОКС в РСЦ и ПСО</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FFFFFF"/>
            <w:tcMar>
              <w:left w:w="73" w:type="dxa"/>
            </w:tcMar>
          </w:tcPr>
          <w:p w:rsidR="00ED7F17" w:rsidRDefault="00ED7F17" w:rsidP="006F7358">
            <w:pPr>
              <w:jc w:val="both"/>
            </w:pPr>
            <w:r>
              <w:rPr>
                <w:color w:val="000000" w:themeColor="text1"/>
              </w:rPr>
              <w:t>01.01.2020</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FFFFFF"/>
            <w:tcMar>
              <w:left w:w="73" w:type="dxa"/>
            </w:tcMar>
          </w:tcPr>
          <w:p w:rsidR="00ED7F17" w:rsidRDefault="00ED7F17" w:rsidP="006F7358">
            <w:pPr>
              <w:jc w:val="both"/>
            </w:pPr>
            <w:r>
              <w:rPr>
                <w:color w:val="000000" w:themeColor="text1"/>
              </w:rPr>
              <w:t>31.12.2020</w:t>
            </w:r>
          </w:p>
        </w:tc>
        <w:tc>
          <w:tcPr>
            <w:tcW w:w="3122" w:type="dxa"/>
            <w:gridSpan w:val="5"/>
            <w:tcBorders>
              <w:top w:val="single" w:sz="4" w:space="0" w:color="00000A"/>
              <w:left w:val="single" w:sz="4" w:space="0" w:color="00000A"/>
              <w:bottom w:val="single" w:sz="4" w:space="0" w:color="00000A"/>
              <w:right w:val="single" w:sz="4" w:space="0" w:color="00000A"/>
            </w:tcBorders>
            <w:shd w:val="clear" w:color="auto" w:fill="FFFFFF"/>
            <w:tcMar>
              <w:left w:w="73" w:type="dxa"/>
            </w:tcMar>
          </w:tcPr>
          <w:p w:rsidR="00ED7F17" w:rsidRDefault="00ED7F17" w:rsidP="006F7358">
            <w:pPr>
              <w:jc w:val="both"/>
            </w:pPr>
            <w:r>
              <w:rPr>
                <w:color w:val="000000" w:themeColor="text1"/>
              </w:rPr>
              <w:t>МЗ АО,</w:t>
            </w:r>
          </w:p>
          <w:p w:rsidR="00ED7F17" w:rsidRDefault="00ED7F17" w:rsidP="006F7358">
            <w:pPr>
              <w:jc w:val="both"/>
            </w:pPr>
            <w:r>
              <w:rPr>
                <w:color w:val="000000" w:themeColor="text1"/>
              </w:rPr>
              <w:t>главные врачи МО АО</w:t>
            </w:r>
          </w:p>
        </w:tc>
        <w:tc>
          <w:tcPr>
            <w:tcW w:w="4157" w:type="dxa"/>
            <w:gridSpan w:val="2"/>
            <w:tcBorders>
              <w:top w:val="single" w:sz="4" w:space="0" w:color="00000A"/>
              <w:left w:val="single" w:sz="4" w:space="0" w:color="00000A"/>
              <w:bottom w:val="single" w:sz="4" w:space="0" w:color="00000A"/>
              <w:right w:val="single" w:sz="4" w:space="0" w:color="00000A"/>
            </w:tcBorders>
            <w:shd w:val="clear" w:color="auto" w:fill="FFFFFF"/>
            <w:tcMar>
              <w:left w:w="73" w:type="dxa"/>
            </w:tcMar>
          </w:tcPr>
          <w:p w:rsidR="00ED7F17" w:rsidRDefault="00ED7F17" w:rsidP="006F7358">
            <w:pPr>
              <w:jc w:val="both"/>
            </w:pPr>
            <w:r>
              <w:rPr>
                <w:color w:val="000000" w:themeColor="text1"/>
              </w:rPr>
              <w:t>Наличие мультидисциплинарных бригад (невролог, кардиолог, психиатр, логопед, врач/инструктор ЛФК, физиотерапевт) в РСЦ и каждом из ПСО</w:t>
            </w:r>
          </w:p>
        </w:tc>
      </w:tr>
      <w:tr w:rsidR="00ED7F17" w:rsidTr="00274256">
        <w:trPr>
          <w:gridBefore w:val="1"/>
          <w:wBefore w:w="13" w:type="dxa"/>
          <w:trHeight w:val="57"/>
          <w:jc w:val="right"/>
        </w:trPr>
        <w:tc>
          <w:tcPr>
            <w:tcW w:w="1123"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rPr>
                <w:bCs/>
                <w:color w:val="000000"/>
              </w:rPr>
              <w:t>9.5.</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Обеспечение преемственности стационарного, амбулаторного этапов и этапа реабилитации</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rPr>
                <w:bCs/>
                <w:iCs/>
              </w:rPr>
              <w:t>01.09.2019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rPr>
                <w:bCs/>
                <w:iCs/>
              </w:rPr>
              <w:t>31.12.2020</w:t>
            </w:r>
          </w:p>
        </w:tc>
        <w:tc>
          <w:tcPr>
            <w:tcW w:w="3122" w:type="dxa"/>
            <w:gridSpan w:val="5"/>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rPr>
                <w:bCs/>
                <w:iCs/>
              </w:rPr>
              <w:t>МЗ АО, главные внештатные специалисты МЗ АО, главные врачи МО АО</w:t>
            </w:r>
          </w:p>
        </w:tc>
        <w:tc>
          <w:tcPr>
            <w:tcW w:w="4157"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tabs>
                <w:tab w:val="left" w:pos="453"/>
                <w:tab w:val="left" w:pos="993"/>
              </w:tabs>
              <w:jc w:val="both"/>
            </w:pPr>
            <w:r>
              <w:t>Разработаны необходимые нормативные документы, регламентирующие порядок формирования, обработки, хранения и использования медицинских изображений и результаты медицинских диагностических исследований с использованием центрального архива медицинских изображений ГМИС АО</w:t>
            </w:r>
          </w:p>
          <w:p w:rsidR="00ED7F17" w:rsidRDefault="00ED7F17" w:rsidP="006F7358">
            <w:pPr>
              <w:jc w:val="both"/>
            </w:pPr>
            <w:r>
              <w:t>Разработана система учета пациентов, направленных на реабилитацию и прошедших реабилитацию</w:t>
            </w:r>
          </w:p>
        </w:tc>
      </w:tr>
      <w:tr w:rsidR="00ED7F17" w:rsidTr="00274256">
        <w:trPr>
          <w:gridBefore w:val="1"/>
          <w:wBefore w:w="13" w:type="dxa"/>
          <w:trHeight w:val="57"/>
          <w:jc w:val="right"/>
        </w:trPr>
        <w:tc>
          <w:tcPr>
            <w:tcW w:w="1123" w:type="dxa"/>
            <w:gridSpan w:val="2"/>
            <w:tcBorders>
              <w:top w:val="single" w:sz="4" w:space="0" w:color="00000A"/>
              <w:left w:val="single" w:sz="4" w:space="0" w:color="00000A"/>
              <w:bottom w:val="single" w:sz="4" w:space="0" w:color="00000A"/>
              <w:right w:val="single" w:sz="4" w:space="0" w:color="00000A"/>
            </w:tcBorders>
            <w:shd w:val="clear" w:color="auto" w:fill="FFFFFF"/>
            <w:tcMar>
              <w:left w:w="73" w:type="dxa"/>
            </w:tcMar>
          </w:tcPr>
          <w:p w:rsidR="00ED7F17" w:rsidRDefault="00ED7F17" w:rsidP="006F7358">
            <w:pPr>
              <w:jc w:val="both"/>
            </w:pPr>
            <w:r>
              <w:t>9.6.</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FFFFFF"/>
            <w:tcMar>
              <w:left w:w="73" w:type="dxa"/>
            </w:tcMar>
          </w:tcPr>
          <w:p w:rsidR="00ED7F17" w:rsidRDefault="00ED7F17" w:rsidP="006F7358">
            <w:pPr>
              <w:jc w:val="both"/>
            </w:pPr>
            <w:r>
              <w:t>Открытие отделения медицинской реабилитации в ГБУЗ АО АМОКБ (РСЦ) для оказания II этапа медицинской реабилитации</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FFFFFF"/>
            <w:tcMar>
              <w:left w:w="73" w:type="dxa"/>
            </w:tcMar>
          </w:tcPr>
          <w:p w:rsidR="00ED7F17" w:rsidRDefault="00ED7F17" w:rsidP="006F7358">
            <w:pPr>
              <w:jc w:val="both"/>
            </w:pPr>
            <w:r>
              <w:t>01.01.2023</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FFFFFF"/>
            <w:tcMar>
              <w:left w:w="73" w:type="dxa"/>
            </w:tcMar>
          </w:tcPr>
          <w:p w:rsidR="00ED7F17" w:rsidRDefault="00ED7F17" w:rsidP="006F7358">
            <w:pPr>
              <w:jc w:val="both"/>
            </w:pPr>
            <w:r>
              <w:t>31.12.2023</w:t>
            </w:r>
          </w:p>
        </w:tc>
        <w:tc>
          <w:tcPr>
            <w:tcW w:w="3122" w:type="dxa"/>
            <w:gridSpan w:val="5"/>
            <w:tcBorders>
              <w:top w:val="single" w:sz="4" w:space="0" w:color="00000A"/>
              <w:left w:val="single" w:sz="4" w:space="0" w:color="00000A"/>
              <w:bottom w:val="single" w:sz="4" w:space="0" w:color="00000A"/>
              <w:right w:val="single" w:sz="4" w:space="0" w:color="00000A"/>
            </w:tcBorders>
            <w:shd w:val="clear" w:color="auto" w:fill="FFFFFF"/>
            <w:tcMar>
              <w:left w:w="73" w:type="dxa"/>
            </w:tcMar>
          </w:tcPr>
          <w:p w:rsidR="00ED7F17" w:rsidRDefault="00ED7F17" w:rsidP="006F7358">
            <w:pPr>
              <w:jc w:val="both"/>
            </w:pPr>
            <w:r>
              <w:t>МЗ АО, главный врач ГБУЗ АО АМОКБ, главный внештатный специалист по медицинской реабилитации МЗ АО</w:t>
            </w:r>
          </w:p>
        </w:tc>
        <w:tc>
          <w:tcPr>
            <w:tcW w:w="4157" w:type="dxa"/>
            <w:gridSpan w:val="2"/>
            <w:tcBorders>
              <w:top w:val="single" w:sz="4" w:space="0" w:color="00000A"/>
              <w:left w:val="single" w:sz="4" w:space="0" w:color="00000A"/>
              <w:bottom w:val="single" w:sz="4" w:space="0" w:color="00000A"/>
              <w:right w:val="single" w:sz="4" w:space="0" w:color="00000A"/>
            </w:tcBorders>
            <w:shd w:val="clear" w:color="auto" w:fill="FFFFFF"/>
            <w:tcMar>
              <w:left w:w="73" w:type="dxa"/>
            </w:tcMar>
          </w:tcPr>
          <w:p w:rsidR="00ED7F17" w:rsidRDefault="00ED7F17" w:rsidP="006F7358">
            <w:pPr>
              <w:jc w:val="both"/>
            </w:pPr>
            <w:r>
              <w:t>Охват реабилитацией II этапа не менее 40% пациентов с ОНМК и ОКС</w:t>
            </w:r>
          </w:p>
          <w:p w:rsidR="00ED7F17" w:rsidRDefault="00ED7F17" w:rsidP="006F7358">
            <w:pPr>
              <w:jc w:val="both"/>
            </w:pPr>
          </w:p>
        </w:tc>
      </w:tr>
      <w:tr w:rsidR="00ED7F17" w:rsidTr="00274256">
        <w:trPr>
          <w:gridBefore w:val="1"/>
          <w:wBefore w:w="13" w:type="dxa"/>
          <w:trHeight w:val="57"/>
          <w:jc w:val="right"/>
        </w:trPr>
        <w:tc>
          <w:tcPr>
            <w:tcW w:w="1123" w:type="dxa"/>
            <w:gridSpan w:val="2"/>
            <w:tcBorders>
              <w:top w:val="single" w:sz="4" w:space="0" w:color="00000A"/>
              <w:left w:val="single" w:sz="4" w:space="0" w:color="00000A"/>
              <w:bottom w:val="single" w:sz="4" w:space="0" w:color="00000A"/>
              <w:right w:val="single" w:sz="4" w:space="0" w:color="00000A"/>
            </w:tcBorders>
            <w:shd w:val="clear" w:color="auto" w:fill="FFFFFF"/>
            <w:tcMar>
              <w:left w:w="73" w:type="dxa"/>
            </w:tcMar>
          </w:tcPr>
          <w:p w:rsidR="00ED7F17" w:rsidRDefault="00ED7F17" w:rsidP="006F7358">
            <w:pPr>
              <w:jc w:val="both"/>
            </w:pPr>
            <w:r>
              <w:t>9.7.</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FFFFFF"/>
            <w:tcMar>
              <w:left w:w="73" w:type="dxa"/>
            </w:tcMar>
          </w:tcPr>
          <w:p w:rsidR="00ED7F17" w:rsidRDefault="00ED7F17" w:rsidP="006F7358">
            <w:pPr>
              <w:jc w:val="both"/>
            </w:pPr>
            <w:r>
              <w:t>Обеспечение функционирования отделений медицинской реабилитации медицинских организаций, оказывающих медицинскую помощь в амбулаторных условиях</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FFFFFF"/>
            <w:tcMar>
              <w:left w:w="73" w:type="dxa"/>
            </w:tcMar>
          </w:tcPr>
          <w:p w:rsidR="00ED7F17" w:rsidRDefault="00ED7F17" w:rsidP="006F7358">
            <w:pPr>
              <w:jc w:val="both"/>
            </w:pPr>
            <w:r>
              <w:t>01.01.2020</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FFFFFF"/>
            <w:tcMar>
              <w:left w:w="73" w:type="dxa"/>
            </w:tcMar>
          </w:tcPr>
          <w:p w:rsidR="00ED7F17" w:rsidRDefault="00ED7F17" w:rsidP="006F7358">
            <w:pPr>
              <w:jc w:val="both"/>
            </w:pPr>
            <w:r>
              <w:t>31.12.2024</w:t>
            </w:r>
          </w:p>
        </w:tc>
        <w:tc>
          <w:tcPr>
            <w:tcW w:w="3122" w:type="dxa"/>
            <w:gridSpan w:val="5"/>
            <w:tcBorders>
              <w:top w:val="single" w:sz="4" w:space="0" w:color="00000A"/>
              <w:left w:val="single" w:sz="4" w:space="0" w:color="00000A"/>
              <w:bottom w:val="single" w:sz="4" w:space="0" w:color="00000A"/>
              <w:right w:val="single" w:sz="4" w:space="0" w:color="00000A"/>
            </w:tcBorders>
            <w:shd w:val="clear" w:color="auto" w:fill="FFFFFF"/>
            <w:tcMar>
              <w:left w:w="73" w:type="dxa"/>
            </w:tcMar>
          </w:tcPr>
          <w:p w:rsidR="00ED7F17" w:rsidRDefault="00ED7F17" w:rsidP="006F7358">
            <w:pPr>
              <w:jc w:val="both"/>
            </w:pPr>
            <w:r>
              <w:t>Главный внештатный специалист по реабилитации МЗ АО, главные врачи МО АО</w:t>
            </w:r>
          </w:p>
        </w:tc>
        <w:tc>
          <w:tcPr>
            <w:tcW w:w="4157" w:type="dxa"/>
            <w:gridSpan w:val="2"/>
            <w:tcBorders>
              <w:top w:val="single" w:sz="4" w:space="0" w:color="00000A"/>
              <w:left w:val="single" w:sz="4" w:space="0" w:color="00000A"/>
              <w:bottom w:val="single" w:sz="4" w:space="0" w:color="00000A"/>
              <w:right w:val="single" w:sz="4" w:space="0" w:color="00000A"/>
            </w:tcBorders>
            <w:shd w:val="clear" w:color="auto" w:fill="FFFFFF"/>
            <w:tcMar>
              <w:left w:w="73" w:type="dxa"/>
            </w:tcMar>
          </w:tcPr>
          <w:p w:rsidR="00ED7F17" w:rsidRDefault="00ED7F17" w:rsidP="006F7358">
            <w:pPr>
              <w:jc w:val="both"/>
            </w:pPr>
            <w:r>
              <w:t>Охват реабилитацией III этапа не менее 95% пациентов с ОКС и ОНМК</w:t>
            </w:r>
          </w:p>
        </w:tc>
      </w:tr>
      <w:tr w:rsidR="00ED7F17" w:rsidTr="00274256">
        <w:trPr>
          <w:gridBefore w:val="1"/>
          <w:wBefore w:w="13" w:type="dxa"/>
          <w:trHeight w:val="57"/>
          <w:jc w:val="right"/>
        </w:trPr>
        <w:tc>
          <w:tcPr>
            <w:tcW w:w="1123"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9.8.</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rPr>
                <w:color w:val="000000"/>
              </w:rPr>
              <w:t>Обеспечение реабилитации не менее 70% больных, перенесших ОКС, кардиохирургические вмешательства, лечение по поводу декомпенсации ХСН и не менее 90 % больных, перенесших ОНМК, и</w:t>
            </w:r>
            <w:bookmarkStart w:id="4" w:name="__DdeLink__1202_83965571"/>
            <w:r>
              <w:rPr>
                <w:color w:val="000000"/>
              </w:rPr>
              <w:t>меющих реабилитационный потенциал</w:t>
            </w:r>
            <w:bookmarkEnd w:id="4"/>
            <w:r>
              <w:rPr>
                <w:color w:val="000000"/>
              </w:rPr>
              <w:t>.</w:t>
            </w:r>
          </w:p>
          <w:p w:rsidR="00ED7F17" w:rsidRDefault="00ED7F17" w:rsidP="006F7358">
            <w:pPr>
              <w:jc w:val="both"/>
            </w:pPr>
            <w:r>
              <w:rPr>
                <w:color w:val="000000"/>
              </w:rPr>
              <w:t>Организация мероприятий по реабилитации больных, перенесших ОКС и/или ОНМК, в амбулаторно-поликлинических, санаторно-курортных учреждениях, в отделениях медицинской реабилитации медицинских организаций с соблюдением этапности реабилитации.</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t>31.12.2024</w:t>
            </w:r>
          </w:p>
        </w:tc>
        <w:tc>
          <w:tcPr>
            <w:tcW w:w="3122" w:type="dxa"/>
            <w:gridSpan w:val="5"/>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rPr>
                <w:color w:val="000000"/>
              </w:rPr>
              <w:t xml:space="preserve">Главный внештатный специалисты МЗ АО: кардиолог, </w:t>
            </w:r>
          </w:p>
          <w:p w:rsidR="00ED7F17" w:rsidRDefault="00ED7F17" w:rsidP="006F7358">
            <w:pPr>
              <w:jc w:val="both"/>
            </w:pPr>
            <w:r>
              <w:rPr>
                <w:color w:val="000000"/>
              </w:rPr>
              <w:t xml:space="preserve"> невролог,  по медицинской реабилитации, главные врачи МО АО</w:t>
            </w:r>
          </w:p>
        </w:tc>
        <w:tc>
          <w:tcPr>
            <w:tcW w:w="4157" w:type="dxa"/>
            <w:gridSpan w:val="2"/>
            <w:tcBorders>
              <w:top w:val="single" w:sz="4" w:space="0" w:color="00000A"/>
              <w:left w:val="single" w:sz="4" w:space="0" w:color="00000A"/>
              <w:bottom w:val="single" w:sz="4" w:space="0" w:color="00000A"/>
              <w:right w:val="single" w:sz="4" w:space="0" w:color="00000A"/>
            </w:tcBorders>
            <w:shd w:val="clear" w:color="auto" w:fill="auto"/>
            <w:tcMar>
              <w:left w:w="73" w:type="dxa"/>
            </w:tcMar>
          </w:tcPr>
          <w:p w:rsidR="00ED7F17" w:rsidRDefault="00ED7F17" w:rsidP="006F7358">
            <w:pPr>
              <w:jc w:val="both"/>
            </w:pPr>
            <w:r>
              <w:rPr>
                <w:color w:val="000000"/>
              </w:rPr>
              <w:t>Проводятся мероприятия по реабилитации не менее 70% больных, перенесших ОКС, кардиохирургические вмешательства, лечение по поводу декомпенсации ХСН и не менее 90 % больных, перенесших ОНМК имеющих реабилитационный потенциал.</w:t>
            </w:r>
          </w:p>
          <w:p w:rsidR="00ED7F17" w:rsidRDefault="00ED7F17" w:rsidP="006F7358">
            <w:pPr>
              <w:jc w:val="both"/>
            </w:pPr>
            <w:r>
              <w:rPr>
                <w:color w:val="000000"/>
              </w:rPr>
              <w:t xml:space="preserve">Мероприятия по реабилитации больных, перенесших ОКС и/или ОНМК, в амбулаторно-поликлинических, санаторно-курортных учреждениях, </w:t>
            </w:r>
            <w:bookmarkStart w:id="5" w:name="__DdeLink__60443_83965571"/>
            <w:r>
              <w:rPr>
                <w:color w:val="000000"/>
              </w:rPr>
              <w:t>в отделениях медицинской реабилитации медицинских организаций с соблюдением этапности реабилитации.</w:t>
            </w:r>
            <w:bookmarkEnd w:id="5"/>
            <w:r>
              <w:rPr>
                <w:color w:val="000000"/>
              </w:rPr>
              <w:t xml:space="preserve"> </w:t>
            </w:r>
          </w:p>
        </w:tc>
      </w:tr>
      <w:tr w:rsidR="00ED7F17" w:rsidTr="00274256">
        <w:trPr>
          <w:trHeight w:val="57"/>
          <w:jc w:val="right"/>
        </w:trPr>
        <w:tc>
          <w:tcPr>
            <w:tcW w:w="15493" w:type="dxa"/>
            <w:gridSpan w:val="19"/>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rPr>
                <w:b/>
                <w:color w:val="000000"/>
              </w:rPr>
              <w:t xml:space="preserve">10. </w:t>
            </w:r>
            <w:r>
              <w:rPr>
                <w:b/>
                <w:bCs/>
                <w:color w:val="000000"/>
              </w:rPr>
              <w:t>Кадровое обеспечение системы оказания медицинской помощи больным сердечно-сосудистыми заболеваниями</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rPr>
                <w:color w:val="000000"/>
              </w:rPr>
              <w:t>10.1.</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t>Разработка мер по обеспечению достаточным количеством квалифицированных кадров службы медицинской помощи больным с ССЗ</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rPr>
                <w:color w:val="000000"/>
              </w:rPr>
            </w:pPr>
            <w:r>
              <w:rPr>
                <w:color w:val="000000"/>
              </w:rP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rPr>
                <w:color w:val="000000"/>
              </w:rPr>
            </w:pPr>
            <w:r>
              <w:rPr>
                <w:color w:val="000000"/>
              </w:rPr>
              <w:t>31.12.2019</w:t>
            </w:r>
          </w:p>
        </w:tc>
        <w:tc>
          <w:tcPr>
            <w:tcW w:w="3139" w:type="dxa"/>
            <w:gridSpan w:val="6"/>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rPr>
                <w:bCs/>
                <w:iCs/>
              </w:rPr>
              <w:t>МЗ АО,</w:t>
            </w:r>
          </w:p>
          <w:p w:rsidR="00ED7F17" w:rsidRDefault="00ED7F17" w:rsidP="006F7358">
            <w:pPr>
              <w:jc w:val="both"/>
            </w:pPr>
            <w:r>
              <w:rPr>
                <w:bCs/>
                <w:iCs/>
              </w:rPr>
              <w:t>главные</w:t>
            </w:r>
          </w:p>
          <w:p w:rsidR="00ED7F17" w:rsidRDefault="00ED7F17" w:rsidP="006F7358">
            <w:pPr>
              <w:jc w:val="both"/>
              <w:rPr>
                <w:bCs/>
                <w:iCs/>
              </w:rPr>
            </w:pPr>
            <w:r>
              <w:rPr>
                <w:bCs/>
                <w:iCs/>
              </w:rPr>
              <w:t>внештатные</w:t>
            </w:r>
          </w:p>
          <w:p w:rsidR="00ED7F17" w:rsidRDefault="00ED7F17" w:rsidP="006F7358">
            <w:pPr>
              <w:jc w:val="both"/>
            </w:pPr>
            <w:r>
              <w:rPr>
                <w:bCs/>
                <w:iCs/>
              </w:rPr>
              <w:t xml:space="preserve">специалисты МЗ АО, </w:t>
            </w:r>
          </w:p>
          <w:p w:rsidR="00ED7F17" w:rsidRDefault="00ED7F17" w:rsidP="006F7358">
            <w:pPr>
              <w:jc w:val="both"/>
            </w:pPr>
          </w:p>
        </w:tc>
        <w:tc>
          <w:tcPr>
            <w:tcW w:w="4157"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rPr>
                <w:color w:val="000000"/>
              </w:rPr>
              <w:t xml:space="preserve">Распоряжение об утверждении мер по </w:t>
            </w:r>
            <w:r>
              <w:t>обеспечению достаточным количеством квалифицированных кадров службы медицинской помощи больным с ССЗ</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rPr>
                <w:color w:val="000000"/>
              </w:rPr>
              <w:t>10.1.1.</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t>Разработка и утверждение плана обучения и аттестации медицинских сотрудников</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rPr>
                <w:color w:val="000000"/>
              </w:rPr>
            </w:pPr>
            <w:r>
              <w:rPr>
                <w:color w:val="000000"/>
              </w:rP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rPr>
                <w:color w:val="000000"/>
              </w:rPr>
            </w:pPr>
            <w:r>
              <w:rPr>
                <w:color w:val="000000"/>
              </w:rPr>
              <w:t>31.12.2019</w:t>
            </w:r>
          </w:p>
        </w:tc>
        <w:tc>
          <w:tcPr>
            <w:tcW w:w="3139" w:type="dxa"/>
            <w:gridSpan w:val="6"/>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rPr>
                <w:bCs/>
                <w:iCs/>
              </w:rPr>
              <w:t>МЗ АО,</w:t>
            </w:r>
          </w:p>
          <w:p w:rsidR="00ED7F17" w:rsidRDefault="00ED7F17" w:rsidP="006F7358">
            <w:pPr>
              <w:jc w:val="both"/>
            </w:pPr>
            <w:r>
              <w:rPr>
                <w:bCs/>
                <w:iCs/>
              </w:rPr>
              <w:t>главные</w:t>
            </w:r>
          </w:p>
          <w:p w:rsidR="00ED7F17" w:rsidRDefault="00ED7F17" w:rsidP="006F7358">
            <w:pPr>
              <w:jc w:val="both"/>
              <w:rPr>
                <w:bCs/>
                <w:iCs/>
              </w:rPr>
            </w:pPr>
            <w:r>
              <w:rPr>
                <w:bCs/>
                <w:iCs/>
              </w:rPr>
              <w:t>внештатные</w:t>
            </w:r>
          </w:p>
          <w:p w:rsidR="00ED7F17" w:rsidRDefault="00ED7F17" w:rsidP="006F7358">
            <w:pPr>
              <w:jc w:val="both"/>
            </w:pPr>
            <w:r>
              <w:rPr>
                <w:bCs/>
                <w:iCs/>
              </w:rPr>
              <w:t>специалисты МЗ АО,  ФГБОУ ВО «Астраханский государственный медицинский университет» Минздрава России</w:t>
            </w:r>
          </w:p>
        </w:tc>
        <w:tc>
          <w:tcPr>
            <w:tcW w:w="4157"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rPr>
                <w:color w:val="000000"/>
              </w:rPr>
            </w:pPr>
            <w:r>
              <w:rPr>
                <w:color w:val="000000"/>
              </w:rPr>
              <w:t>МЗ АО утвержден план обучения и аттестации медицинских сотрудников</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rPr>
                <w:color w:val="000000"/>
              </w:rPr>
              <w:t>10.2.</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t>Обеспечение разработки информационных материалов, формирующих престиж врачебной профессии (плакаты наружной рекламы, лекции в школах, информационные материалы в офисах)</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rPr>
                <w:color w:val="000000"/>
              </w:rPr>
            </w:pPr>
            <w:r>
              <w:rPr>
                <w:color w:val="000000"/>
              </w:rP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rPr>
                <w:color w:val="000000"/>
              </w:rPr>
            </w:pPr>
            <w:r>
              <w:rPr>
                <w:color w:val="000000"/>
              </w:rPr>
              <w:t>31.12.2019</w:t>
            </w:r>
          </w:p>
        </w:tc>
        <w:tc>
          <w:tcPr>
            <w:tcW w:w="3139" w:type="dxa"/>
            <w:gridSpan w:val="6"/>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rPr>
                <w:bCs/>
                <w:iCs/>
              </w:rPr>
              <w:t>МЗ АО,</w:t>
            </w:r>
          </w:p>
          <w:p w:rsidR="00ED7F17" w:rsidRDefault="00ED7F17" w:rsidP="006F7358">
            <w:pPr>
              <w:jc w:val="both"/>
            </w:pPr>
            <w:r>
              <w:rPr>
                <w:bCs/>
                <w:iCs/>
              </w:rPr>
              <w:t xml:space="preserve"> Главные</w:t>
            </w:r>
          </w:p>
          <w:p w:rsidR="00ED7F17" w:rsidRDefault="00ED7F17" w:rsidP="006F7358">
            <w:pPr>
              <w:jc w:val="both"/>
              <w:rPr>
                <w:bCs/>
                <w:iCs/>
              </w:rPr>
            </w:pPr>
            <w:r>
              <w:rPr>
                <w:bCs/>
                <w:iCs/>
              </w:rPr>
              <w:t>внештатные</w:t>
            </w:r>
          </w:p>
          <w:p w:rsidR="00ED7F17" w:rsidRDefault="00ED7F17" w:rsidP="006F7358">
            <w:pPr>
              <w:jc w:val="both"/>
            </w:pPr>
            <w:r>
              <w:rPr>
                <w:bCs/>
                <w:iCs/>
              </w:rPr>
              <w:t>специалисты МЗ АО,</w:t>
            </w:r>
          </w:p>
          <w:p w:rsidR="00ED7F17" w:rsidRDefault="00ED7F17" w:rsidP="006F7358">
            <w:pPr>
              <w:jc w:val="both"/>
            </w:pPr>
            <w:r>
              <w:rPr>
                <w:bCs/>
                <w:iCs/>
              </w:rPr>
              <w:t>ФГБОУ ВО «Астраханский государственный медицинский университет» Минздрава России</w:t>
            </w:r>
          </w:p>
        </w:tc>
        <w:tc>
          <w:tcPr>
            <w:tcW w:w="4157"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rPr>
                <w:color w:val="000000"/>
              </w:rPr>
            </w:pPr>
            <w:r>
              <w:t>Созданы/доработаны лекции для школ о престиже врачебной профессии; созданы информационные материалы (плакаты в МО, флаеры, буклеты) о престиже врачебной профессии</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rPr>
                <w:color w:val="000000"/>
              </w:rPr>
              <w:t>10.3.</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t>Разработка системы поощрения медицинских работников</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rPr>
                <w:color w:val="000000"/>
              </w:rPr>
            </w:pPr>
            <w:r>
              <w:rPr>
                <w:color w:val="000000"/>
              </w:rP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rPr>
                <w:color w:val="000000"/>
              </w:rPr>
            </w:pPr>
            <w:r>
              <w:rPr>
                <w:color w:val="000000"/>
              </w:rPr>
              <w:t>31.12.2019</w:t>
            </w:r>
          </w:p>
        </w:tc>
        <w:tc>
          <w:tcPr>
            <w:tcW w:w="3139" w:type="dxa"/>
            <w:gridSpan w:val="6"/>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rPr>
                <w:bCs/>
                <w:iCs/>
              </w:rPr>
              <w:t>МЗ АО,</w:t>
            </w:r>
          </w:p>
          <w:p w:rsidR="00ED7F17" w:rsidRDefault="00ED7F17" w:rsidP="006F7358">
            <w:pPr>
              <w:jc w:val="both"/>
            </w:pPr>
            <w:r>
              <w:rPr>
                <w:bCs/>
                <w:iCs/>
              </w:rPr>
              <w:t>главные</w:t>
            </w:r>
          </w:p>
          <w:p w:rsidR="00ED7F17" w:rsidRDefault="00ED7F17" w:rsidP="006F7358">
            <w:pPr>
              <w:jc w:val="both"/>
            </w:pPr>
            <w:r>
              <w:rPr>
                <w:bCs/>
                <w:iCs/>
              </w:rPr>
              <w:t>врачи МО АО</w:t>
            </w:r>
          </w:p>
        </w:tc>
        <w:tc>
          <w:tcPr>
            <w:tcW w:w="4157"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rPr>
                <w:color w:val="000000"/>
              </w:rPr>
            </w:pPr>
            <w:r>
              <w:rPr>
                <w:color w:val="000000"/>
              </w:rPr>
              <w:t>В каждой МО внедрен «эффективный контракт», утверждена система поощрения сотрудников на основании системы внутреннего контроля качества оказания медицинской помощи</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rPr>
                <w:bCs/>
                <w:color w:val="000000"/>
              </w:rPr>
              <w:t>10.4.</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t>Информирование населения о престиже врачебной профессии: в виде устного оповещения; в виде публикации информационных материалов</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rPr>
                <w:color w:val="000000"/>
              </w:rPr>
            </w:pPr>
            <w:r>
              <w:rPr>
                <w:color w:val="000000"/>
              </w:rP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rPr>
                <w:color w:val="000000"/>
              </w:rPr>
              <w:t>31.12.2024 (ежегодно)</w:t>
            </w:r>
          </w:p>
        </w:tc>
        <w:tc>
          <w:tcPr>
            <w:tcW w:w="3139" w:type="dxa"/>
            <w:gridSpan w:val="6"/>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rPr>
                <w:bCs/>
                <w:iCs/>
              </w:rPr>
              <w:t>МЗ АО,</w:t>
            </w:r>
          </w:p>
          <w:p w:rsidR="00ED7F17" w:rsidRDefault="00ED7F17" w:rsidP="006F7358">
            <w:pPr>
              <w:jc w:val="both"/>
            </w:pPr>
            <w:r>
              <w:rPr>
                <w:bCs/>
                <w:iCs/>
              </w:rPr>
              <w:t>главные врачи МО АО</w:t>
            </w:r>
          </w:p>
        </w:tc>
        <w:tc>
          <w:tcPr>
            <w:tcW w:w="4157"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t>Проведено каждой медицинской организацией не менее 2 лекций в школах о престиже врачебной профессии, на прикрепленной территории</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rPr>
                <w:bCs/>
                <w:color w:val="000000"/>
              </w:rPr>
              <w:t>10.5.</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t>Организация ежеквартального контроля укомплектованности кадрами МО АО (в соответствии со стандартами)</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rPr>
                <w:color w:val="000000"/>
              </w:rPr>
            </w:pPr>
            <w:r>
              <w:rPr>
                <w:color w:val="000000"/>
              </w:rP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rPr>
                <w:color w:val="000000"/>
              </w:rPr>
              <w:t>31.12.2024</w:t>
            </w:r>
          </w:p>
        </w:tc>
        <w:tc>
          <w:tcPr>
            <w:tcW w:w="3139" w:type="dxa"/>
            <w:gridSpan w:val="6"/>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rPr>
                <w:bCs/>
                <w:iCs/>
              </w:rPr>
              <w:t>МЗ АО,</w:t>
            </w:r>
          </w:p>
          <w:p w:rsidR="00ED7F17" w:rsidRDefault="00ED7F17" w:rsidP="006F7358">
            <w:pPr>
              <w:jc w:val="both"/>
            </w:pPr>
            <w:r>
              <w:rPr>
                <w:bCs/>
                <w:iCs/>
              </w:rPr>
              <w:t>главные врачи МО АО,</w:t>
            </w:r>
          </w:p>
          <w:p w:rsidR="00ED7F17" w:rsidRDefault="00ED7F17" w:rsidP="006F7358">
            <w:pPr>
              <w:jc w:val="both"/>
            </w:pPr>
            <w:r>
              <w:rPr>
                <w:bCs/>
                <w:iCs/>
              </w:rPr>
              <w:t>Главные внештатные специалисты МЗ АО</w:t>
            </w:r>
          </w:p>
        </w:tc>
        <w:tc>
          <w:tcPr>
            <w:tcW w:w="4157"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t>Информационная справка МЗ АО об укомплектованности кадрами МО АО</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rPr>
                <w:bCs/>
                <w:color w:val="000000"/>
              </w:rPr>
              <w:t>10.5.1.</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t xml:space="preserve">Ежеквартальное направление отчета в МЗ АО о выполнении распоряжения </w:t>
            </w:r>
            <w:r>
              <w:rPr>
                <w:color w:val="000000"/>
              </w:rPr>
              <w:t xml:space="preserve">об утверждении мер по </w:t>
            </w:r>
            <w:r>
              <w:t>обеспечению достаточным количеством квалифицированных кадров службы медицинской помощи пациентам с ССЗ</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rPr>
                <w:color w:val="000000"/>
              </w:rPr>
            </w:pPr>
            <w:r>
              <w:rPr>
                <w:color w:val="000000"/>
              </w:rP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rPr>
                <w:color w:val="000000"/>
              </w:rPr>
              <w:t>31.12.2024</w:t>
            </w:r>
          </w:p>
        </w:tc>
        <w:tc>
          <w:tcPr>
            <w:tcW w:w="3139" w:type="dxa"/>
            <w:gridSpan w:val="6"/>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rPr>
                <w:bCs/>
                <w:iCs/>
              </w:rPr>
              <w:t>главные врачи МО АО</w:t>
            </w:r>
          </w:p>
        </w:tc>
        <w:tc>
          <w:tcPr>
            <w:tcW w:w="4157"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t xml:space="preserve">Отчет о выполнении распоряжения </w:t>
            </w:r>
            <w:r>
              <w:rPr>
                <w:color w:val="000000"/>
              </w:rPr>
              <w:t xml:space="preserve">об утверждении мер по </w:t>
            </w:r>
            <w:r>
              <w:t>обеспечению достаточным количеством квалифицированных кадров службы медицинской помощи пациентам с ССЗ</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rPr>
                <w:bCs/>
                <w:color w:val="000000"/>
              </w:rPr>
              <w:t>10.5.2.</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t xml:space="preserve">Анализ и принятие управленческих решений на основании отчетной документации о выполнении приказа </w:t>
            </w:r>
            <w:r>
              <w:rPr>
                <w:color w:val="000000"/>
              </w:rPr>
              <w:t xml:space="preserve">об утверждении мер по </w:t>
            </w:r>
            <w:r>
              <w:t>обеспечению достаточным количеством квалифицированных кадров службы медицинской помощи пациентам с ССЗ</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rPr>
                <w:color w:val="000000"/>
              </w:rPr>
            </w:pPr>
            <w:r>
              <w:rPr>
                <w:color w:val="000000"/>
              </w:rP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rPr>
                <w:color w:val="000000"/>
              </w:rPr>
              <w:t>31.12.2024</w:t>
            </w:r>
          </w:p>
        </w:tc>
        <w:tc>
          <w:tcPr>
            <w:tcW w:w="3139" w:type="dxa"/>
            <w:gridSpan w:val="6"/>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rPr>
                <w:bCs/>
                <w:iCs/>
              </w:rPr>
              <w:t xml:space="preserve"> МЗ АО</w:t>
            </w:r>
          </w:p>
        </w:tc>
        <w:tc>
          <w:tcPr>
            <w:tcW w:w="4157"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t xml:space="preserve">Протокол совещаний по кадровым вопросам; внесение изменений в нормативно-правовую документацию; документ МЗ АО о результате анализа отчетной документации о выполнении приказа </w:t>
            </w:r>
            <w:r>
              <w:rPr>
                <w:color w:val="000000"/>
              </w:rPr>
              <w:t xml:space="preserve">об утверждении мер по </w:t>
            </w:r>
            <w:r>
              <w:t>обеспечению достаточным количеством квалифицированных кадров службы медицинской помощи пациентам с ССЗ</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rPr>
                <w:color w:val="000000"/>
              </w:rPr>
              <w:t>10.6.</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rPr>
                <w:color w:val="000000"/>
              </w:rPr>
              <w:t>Организация ежегодного мониторинга укомплектованности специалистами для оказания медицинской помощи больным с ССЗ в МО</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rPr>
                <w:color w:val="000000"/>
              </w:rPr>
            </w:pPr>
            <w:r>
              <w:rPr>
                <w:color w:val="000000"/>
              </w:rP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rPr>
                <w:color w:val="000000"/>
              </w:rPr>
            </w:pPr>
            <w:r>
              <w:rPr>
                <w:color w:val="000000"/>
              </w:rPr>
              <w:t>31.12.2019</w:t>
            </w:r>
          </w:p>
        </w:tc>
        <w:tc>
          <w:tcPr>
            <w:tcW w:w="3139" w:type="dxa"/>
            <w:gridSpan w:val="6"/>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rPr>
                <w:bCs/>
                <w:iCs/>
                <w:color w:val="000000"/>
              </w:rPr>
              <w:t>главного врача МО АО</w:t>
            </w:r>
          </w:p>
          <w:p w:rsidR="00ED7F17" w:rsidRDefault="00ED7F17" w:rsidP="006F7358">
            <w:pPr>
              <w:jc w:val="both"/>
              <w:rPr>
                <w:bCs/>
                <w:iCs/>
              </w:rPr>
            </w:pPr>
          </w:p>
        </w:tc>
        <w:tc>
          <w:tcPr>
            <w:tcW w:w="4157"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rPr>
                <w:color w:val="000000"/>
              </w:rPr>
              <w:t>Отчет руководителей МЗ АО об укомплектованности штатов профильными специалистами</w:t>
            </w:r>
          </w:p>
        </w:tc>
      </w:tr>
      <w:tr w:rsidR="00ED7F17" w:rsidTr="00274256">
        <w:trPr>
          <w:trHeight w:val="296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rPr>
                <w:bCs/>
                <w:color w:val="000000"/>
              </w:rPr>
              <w:t>10.7.</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t xml:space="preserve">Направление отчета в МЗ АО о выполнении распоряжения </w:t>
            </w:r>
            <w:r>
              <w:rPr>
                <w:color w:val="000000"/>
              </w:rPr>
              <w:t xml:space="preserve">об утверждении мер по </w:t>
            </w:r>
            <w:r>
              <w:t>обеспечению достаточным количеством квалифицированных кадров службы медицинской помощи пациентам с ССЗ</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rPr>
                <w:color w:val="000000"/>
              </w:rP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rPr>
                <w:color w:val="000000"/>
              </w:rPr>
              <w:t>31.12.2024</w:t>
            </w:r>
          </w:p>
        </w:tc>
        <w:tc>
          <w:tcPr>
            <w:tcW w:w="3139" w:type="dxa"/>
            <w:gridSpan w:val="6"/>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rPr>
                <w:bCs/>
                <w:iCs/>
              </w:rPr>
              <w:t>главные врачи МО АО</w:t>
            </w:r>
          </w:p>
        </w:tc>
        <w:tc>
          <w:tcPr>
            <w:tcW w:w="4157"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t xml:space="preserve">Ежемесячный отчет о выполнении распоряжения </w:t>
            </w:r>
            <w:r>
              <w:rPr>
                <w:color w:val="000000"/>
              </w:rPr>
              <w:t xml:space="preserve">об утверждении мер по </w:t>
            </w:r>
            <w:r>
              <w:t>обеспечению достаточным количеством квалифицированных кадров службы медицинской помощи пациентам с ССЗ</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t>10.8.</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rPr>
                <w:color w:val="000000"/>
              </w:rPr>
            </w:pPr>
            <w:r>
              <w:t xml:space="preserve">Ежегодный анализ кадровой службы в разрезе специальностей (врач кардиолог, врач сердечно-сосудистый хирург, специалист по рентгенваскулярный диагностике) по данным </w:t>
            </w:r>
            <w:r>
              <w:rPr>
                <w:color w:val="000000"/>
              </w:rPr>
              <w:t>формы федерального статистического наблюдения № 30 «Сведения о медицинской организации» с целью определения потребности в специалистах с учетом коэффициента совместительства 1.2.</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rPr>
                <w:color w:val="000000"/>
              </w:rPr>
            </w:pPr>
            <w:r>
              <w:rPr>
                <w:color w:val="000000"/>
              </w:rP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rPr>
                <w:color w:val="000000"/>
              </w:rPr>
            </w:pPr>
            <w:r>
              <w:rPr>
                <w:color w:val="000000"/>
              </w:rPr>
              <w:t>31.12.2024</w:t>
            </w:r>
          </w:p>
        </w:tc>
        <w:tc>
          <w:tcPr>
            <w:tcW w:w="3139" w:type="dxa"/>
            <w:gridSpan w:val="6"/>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rPr>
                <w:color w:val="000000"/>
              </w:rPr>
            </w:pPr>
            <w:r>
              <w:t>ГБУЗ АО «МИАЦ», отдел государственной кадровой политики МЗ АО</w:t>
            </w:r>
          </w:p>
        </w:tc>
        <w:tc>
          <w:tcPr>
            <w:tcW w:w="4157"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rPr>
                <w:color w:val="000000"/>
              </w:rPr>
            </w:pPr>
            <w:r>
              <w:rPr>
                <w:color w:val="000000"/>
              </w:rPr>
              <w:t xml:space="preserve">Проведен </w:t>
            </w:r>
            <w:r>
              <w:t>ежегодный анализ кадровой службы в разрезе специальностей</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rPr>
                <w:color w:val="000000"/>
              </w:rPr>
              <w:t>10.9</w:t>
            </w:r>
            <w:r w:rsidR="0091552F">
              <w:rPr>
                <w:color w:val="000000"/>
              </w:rPr>
              <w:t>.</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rPr>
                <w:color w:val="000000"/>
              </w:rPr>
            </w:pPr>
            <w:r>
              <w:t>Проведение образовательных мероприятий, направленных на повышение профессиональной квалификации медицинских работников, участвующих в оказании медицинской помощи пациентам с ССЗ, в том числе в симуляционных центрах</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rPr>
                <w:color w:val="000000"/>
              </w:rPr>
            </w:pPr>
            <w:r>
              <w:rPr>
                <w:color w:val="000000"/>
              </w:rPr>
              <w:t>01.07.2019</w:t>
            </w:r>
          </w:p>
          <w:p w:rsidR="00ED7F17" w:rsidRDefault="00ED7F17" w:rsidP="006F7358">
            <w:pPr>
              <w:jc w:val="both"/>
              <w:rPr>
                <w:color w:val="000000"/>
              </w:rPr>
            </w:pP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rPr>
                <w:color w:val="000000"/>
              </w:rPr>
            </w:pPr>
            <w:r>
              <w:rPr>
                <w:color w:val="000000"/>
              </w:rPr>
              <w:t>31.12.2024</w:t>
            </w:r>
          </w:p>
        </w:tc>
        <w:tc>
          <w:tcPr>
            <w:tcW w:w="3139" w:type="dxa"/>
            <w:gridSpan w:val="6"/>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rPr>
                <w:color w:val="000000"/>
              </w:rPr>
            </w:pPr>
            <w:r>
              <w:t>отдел государственной кадровой политики МЗ АО</w:t>
            </w:r>
          </w:p>
        </w:tc>
        <w:tc>
          <w:tcPr>
            <w:tcW w:w="4157"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rPr>
                <w:color w:val="000000"/>
              </w:rPr>
            </w:pPr>
            <w:r>
              <w:t>Проведены образовательные мероприятия, направленные на повышение профессиональной квалификации медицинских работников</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rPr>
                <w:rFonts w:eastAsia="Calibri"/>
              </w:rPr>
              <w:t>10.10.</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rPr>
                <w:shd w:val="clear" w:color="auto" w:fill="FFFFFF"/>
              </w:rPr>
              <w:t>Реализация непрерывного профессионального медицинского (фармацевтического) образования в МО АО</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rPr>
                <w:color w:val="000000"/>
              </w:rPr>
            </w:pPr>
            <w:r>
              <w:rPr>
                <w:color w:val="000000"/>
              </w:rP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rPr>
                <w:color w:val="000000"/>
              </w:rPr>
            </w:pPr>
            <w:r>
              <w:rPr>
                <w:color w:val="000000"/>
              </w:rPr>
              <w:t>31.12.2024</w:t>
            </w:r>
          </w:p>
        </w:tc>
        <w:tc>
          <w:tcPr>
            <w:tcW w:w="3139" w:type="dxa"/>
            <w:gridSpan w:val="6"/>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t>отдел государственной кадровой политики МЗ АО, АГМУ</w:t>
            </w:r>
          </w:p>
        </w:tc>
        <w:tc>
          <w:tcPr>
            <w:tcW w:w="4157"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rPr>
                <w:shd w:val="clear" w:color="auto" w:fill="FFFFFF"/>
              </w:rPr>
              <w:t>Реализовано проведение непрерывного профессионального медицинского (фармацевтического) образ</w:t>
            </w:r>
            <w:r w:rsidR="0091552F">
              <w:rPr>
                <w:shd w:val="clear" w:color="auto" w:fill="FFFFFF"/>
              </w:rPr>
              <w:t>ования в медицинских организациях</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shd w:val="clear" w:color="auto" w:fill="FFFFFF" w:themeFill="background1"/>
              <w:jc w:val="both"/>
            </w:pPr>
            <w:r>
              <w:t>10.11.</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shd w:val="clear" w:color="auto" w:fill="FFFFFF" w:themeFill="background1"/>
              <w:jc w:val="both"/>
            </w:pPr>
            <w:r>
              <w:t>Организация циклов обучения на базе ФГБОУ ВО АГМУ Минздрава России специалистов первичного звена основам аритмологических знаний для своевременной диагностики и определения тактики ведения пациентов с нарушениями ритма сердца.</w:t>
            </w:r>
          </w:p>
          <w:p w:rsidR="00ED7F17" w:rsidRDefault="00ED7F17" w:rsidP="006F7358">
            <w:pPr>
              <w:shd w:val="clear" w:color="auto" w:fill="FFFFFF" w:themeFill="background1"/>
              <w:jc w:val="both"/>
            </w:pP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shd w:val="clear" w:color="auto" w:fill="FFFFFF" w:themeFill="background1"/>
              <w:jc w:val="both"/>
            </w:pPr>
            <w:r>
              <w:t>01.09.2019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shd w:val="clear" w:color="auto" w:fill="FFFFFF" w:themeFill="background1"/>
              <w:jc w:val="both"/>
            </w:pPr>
            <w:r>
              <w:t>01.01.2024</w:t>
            </w:r>
          </w:p>
        </w:tc>
        <w:tc>
          <w:tcPr>
            <w:tcW w:w="3139" w:type="dxa"/>
            <w:gridSpan w:val="6"/>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shd w:val="clear" w:color="auto" w:fill="FFFFFF" w:themeFill="background1"/>
              <w:jc w:val="both"/>
            </w:pPr>
            <w:r>
              <w:t xml:space="preserve"> МЗ АО</w:t>
            </w:r>
          </w:p>
          <w:p w:rsidR="00ED7F17" w:rsidRDefault="00ED7F17" w:rsidP="006F7358">
            <w:pPr>
              <w:shd w:val="clear" w:color="auto" w:fill="FFFFFF" w:themeFill="background1"/>
              <w:jc w:val="both"/>
            </w:pPr>
            <w:r>
              <w:t>главные внештатные специалисты министерства здравоохранения</w:t>
            </w:r>
          </w:p>
          <w:p w:rsidR="00ED7F17" w:rsidRDefault="0091552F" w:rsidP="006F7358">
            <w:pPr>
              <w:shd w:val="clear" w:color="auto" w:fill="FFFFFF" w:themeFill="background1"/>
              <w:jc w:val="both"/>
            </w:pPr>
            <w:r>
              <w:t>кардиолог, терапевт, невролог</w:t>
            </w:r>
            <w:r w:rsidR="00ED7F17">
              <w:t xml:space="preserve">, сердечно-сосудистый хирург, </w:t>
            </w:r>
            <w:r w:rsidR="00ED7F17">
              <w:rPr>
                <w:bCs/>
                <w:iCs/>
              </w:rPr>
              <w:t>ФГБОУ ВО «Астраханский государственный медицинский университет» Минздрава России</w:t>
            </w:r>
          </w:p>
        </w:tc>
        <w:tc>
          <w:tcPr>
            <w:tcW w:w="4157"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shd w:val="clear" w:color="auto" w:fill="FFFFFF" w:themeFill="background1"/>
              <w:jc w:val="both"/>
            </w:pPr>
            <w:r>
              <w:t>Обеспечено повышение качества оказания медицинской помощи пациентам с ССЗ, организовано обучение специалистов первичного звена</w:t>
            </w:r>
          </w:p>
          <w:p w:rsidR="00ED7F17" w:rsidRDefault="00ED7F17" w:rsidP="006F7358">
            <w:pPr>
              <w:shd w:val="clear" w:color="auto" w:fill="FFFFFF" w:themeFill="background1"/>
              <w:jc w:val="both"/>
            </w:pP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shd w:val="clear" w:color="auto" w:fill="FFFFFF" w:themeFill="background1"/>
              <w:jc w:val="both"/>
            </w:pPr>
            <w:r>
              <w:t>10.12.</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widowControl w:val="0"/>
              <w:pBdr>
                <w:bottom w:val="single" w:sz="6" w:space="30" w:color="FFFFFF"/>
              </w:pBdr>
              <w:shd w:val="clear" w:color="auto" w:fill="FFFFFF" w:themeFill="background1"/>
              <w:tabs>
                <w:tab w:val="left" w:pos="4690"/>
                <w:tab w:val="left" w:pos="9214"/>
                <w:tab w:val="left" w:pos="9355"/>
              </w:tabs>
              <w:jc w:val="both"/>
            </w:pPr>
            <w:r>
              <w:t>Организация подготовки специалистов по дополнительным профессиональным программам:</w:t>
            </w:r>
          </w:p>
          <w:p w:rsidR="00ED7F17" w:rsidRDefault="00ED7F17" w:rsidP="006F7358">
            <w:pPr>
              <w:widowControl w:val="0"/>
              <w:pBdr>
                <w:bottom w:val="single" w:sz="6" w:space="30" w:color="FFFFFF"/>
              </w:pBdr>
              <w:shd w:val="clear" w:color="auto" w:fill="FFFFFF" w:themeFill="background1"/>
              <w:tabs>
                <w:tab w:val="left" w:pos="4690"/>
                <w:tab w:val="left" w:pos="9214"/>
                <w:tab w:val="left" w:pos="9355"/>
              </w:tabs>
              <w:jc w:val="both"/>
            </w:pPr>
            <w:r>
              <w:t>повышение квалификации неврологов, кардиологов и специалистов мультидисциплинарных бригад РСЦ и 2 ПСО МО АО.</w:t>
            </w:r>
          </w:p>
          <w:p w:rsidR="00ED7F17" w:rsidRDefault="00ED7F17" w:rsidP="006F7358">
            <w:pPr>
              <w:widowControl w:val="0"/>
              <w:pBdr>
                <w:bottom w:val="single" w:sz="6" w:space="30" w:color="FFFFFF"/>
              </w:pBdr>
              <w:shd w:val="clear" w:color="auto" w:fill="FFFFFF" w:themeFill="background1"/>
              <w:tabs>
                <w:tab w:val="left" w:pos="4690"/>
                <w:tab w:val="left" w:pos="9214"/>
                <w:tab w:val="left" w:pos="9355"/>
              </w:tabs>
              <w:jc w:val="both"/>
            </w:pP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shd w:val="clear" w:color="auto" w:fill="FFFFFF" w:themeFill="background1"/>
              <w:jc w:val="both"/>
            </w:pPr>
            <w:r>
              <w:t>01.09.2019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shd w:val="clear" w:color="auto" w:fill="FFFFFF" w:themeFill="background1"/>
              <w:jc w:val="both"/>
            </w:pPr>
            <w:r>
              <w:t>01.12.2019</w:t>
            </w:r>
          </w:p>
        </w:tc>
        <w:tc>
          <w:tcPr>
            <w:tcW w:w="3139" w:type="dxa"/>
            <w:gridSpan w:val="6"/>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shd w:val="clear" w:color="auto" w:fill="FFFFFF" w:themeFill="background1"/>
              <w:jc w:val="both"/>
            </w:pPr>
            <w:r>
              <w:rPr>
                <w:color w:val="000000"/>
              </w:rPr>
              <w:t xml:space="preserve"> МЗ АО</w:t>
            </w:r>
          </w:p>
          <w:p w:rsidR="00ED7F17" w:rsidRDefault="00ED7F17" w:rsidP="006F7358">
            <w:pPr>
              <w:shd w:val="clear" w:color="auto" w:fill="FFFFFF" w:themeFill="background1"/>
              <w:jc w:val="both"/>
            </w:pPr>
            <w:r>
              <w:rPr>
                <w:color w:val="000000"/>
              </w:rPr>
              <w:t>Главные врачи РСЦ и ПСО, главные врачи МО АО</w:t>
            </w:r>
          </w:p>
        </w:tc>
        <w:tc>
          <w:tcPr>
            <w:tcW w:w="4157"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widowControl w:val="0"/>
              <w:pBdr>
                <w:bottom w:val="single" w:sz="6" w:space="30" w:color="FFFFFF"/>
              </w:pBdr>
              <w:shd w:val="clear" w:color="auto" w:fill="FFFFFF" w:themeFill="background1"/>
              <w:tabs>
                <w:tab w:val="left" w:pos="4690"/>
                <w:tab w:val="left" w:pos="9214"/>
                <w:tab w:val="left" w:pos="9355"/>
              </w:tabs>
              <w:jc w:val="both"/>
            </w:pPr>
            <w:r>
              <w:t>Разработан и реализован план проведения образовательных мероприятий по подготовке специалистов по дополнительным профессиональным программам: повышение квалификации специалистов РСЦ и 2 ПСО; использование система непрерывного образования медицинских работников (НМО), с использованием дистанционного образования;</w:t>
            </w:r>
          </w:p>
          <w:p w:rsidR="00ED7F17" w:rsidRDefault="00ED7F17" w:rsidP="006F7358">
            <w:pPr>
              <w:widowControl w:val="0"/>
              <w:pBdr>
                <w:bottom w:val="single" w:sz="6" w:space="30" w:color="FFFFFF"/>
              </w:pBdr>
              <w:shd w:val="clear" w:color="auto" w:fill="FFFFFF" w:themeFill="background1"/>
              <w:tabs>
                <w:tab w:val="left" w:pos="4690"/>
                <w:tab w:val="left" w:pos="9214"/>
                <w:tab w:val="left" w:pos="9355"/>
              </w:tabs>
              <w:jc w:val="both"/>
            </w:pPr>
            <w:r>
              <w:t>2019 год– 18 врачей-кардиологов,17 врачей-неврологов, 4 медицинская реабилитация,3 рентгенваскулярные хирурги, 2 сердечно-сосудистая хирургия</w:t>
            </w:r>
          </w:p>
          <w:p w:rsidR="00ED7F17" w:rsidRDefault="00ED7F17" w:rsidP="006F7358">
            <w:pPr>
              <w:widowControl w:val="0"/>
              <w:pBdr>
                <w:bottom w:val="single" w:sz="6" w:space="30" w:color="FFFFFF"/>
              </w:pBdr>
              <w:shd w:val="clear" w:color="auto" w:fill="FFFFFF" w:themeFill="background1"/>
              <w:tabs>
                <w:tab w:val="left" w:pos="4690"/>
                <w:tab w:val="left" w:pos="9214"/>
                <w:tab w:val="left" w:pos="9355"/>
              </w:tabs>
              <w:jc w:val="both"/>
            </w:pPr>
            <w:r>
              <w:t>2020 год–18 врачей-кардиологов, 24 врачей-неврологов, 3 рентгенваскулярные хирурги, 3 рентгенваскулярные хирурги,</w:t>
            </w:r>
          </w:p>
          <w:p w:rsidR="00ED7F17" w:rsidRDefault="00ED7F17" w:rsidP="006F7358">
            <w:pPr>
              <w:widowControl w:val="0"/>
              <w:pBdr>
                <w:bottom w:val="single" w:sz="6" w:space="30" w:color="FFFFFF"/>
              </w:pBdr>
              <w:shd w:val="clear" w:color="auto" w:fill="FFFFFF" w:themeFill="background1"/>
              <w:tabs>
                <w:tab w:val="left" w:pos="4690"/>
                <w:tab w:val="left" w:pos="9214"/>
                <w:tab w:val="left" w:pos="9355"/>
              </w:tabs>
              <w:jc w:val="both"/>
            </w:pPr>
            <w:r>
              <w:t>2021год–18 врачей-кардиологов, 24 врача-невролога, 3 рентгенваскулярные хирурги, 2022 год– 18 врачей-кардиологов, 24 врача-невролога, 3 рентгенваскулярные хирурги, 2 сердечно-сосудистая хирургия, 4 медицинская реабилитация</w:t>
            </w:r>
          </w:p>
          <w:p w:rsidR="00ED7F17" w:rsidRDefault="00ED7F17" w:rsidP="006F7358">
            <w:pPr>
              <w:widowControl w:val="0"/>
              <w:pBdr>
                <w:bottom w:val="single" w:sz="6" w:space="30" w:color="FFFFFF"/>
              </w:pBdr>
              <w:shd w:val="clear" w:color="auto" w:fill="FFFFFF" w:themeFill="background1"/>
              <w:tabs>
                <w:tab w:val="left" w:pos="4690"/>
                <w:tab w:val="left" w:pos="9214"/>
                <w:tab w:val="left" w:pos="9355"/>
              </w:tabs>
              <w:jc w:val="both"/>
            </w:pPr>
            <w:r>
              <w:t>2023 год – 18 врача-кардиолога, 24 врача-невролога, 3 рентгенваскулярные хирурги, 2 сердечно-сосудистая хирургия, 4 медицинская реабилитация</w:t>
            </w:r>
          </w:p>
          <w:p w:rsidR="00ED7F17" w:rsidRDefault="00ED7F17" w:rsidP="006F7358">
            <w:pPr>
              <w:widowControl w:val="0"/>
              <w:pBdr>
                <w:bottom w:val="single" w:sz="6" w:space="30" w:color="FFFFFF"/>
              </w:pBdr>
              <w:shd w:val="clear" w:color="auto" w:fill="FFFFFF" w:themeFill="background1"/>
              <w:tabs>
                <w:tab w:val="left" w:pos="4690"/>
                <w:tab w:val="left" w:pos="9214"/>
                <w:tab w:val="left" w:pos="9355"/>
              </w:tabs>
              <w:jc w:val="both"/>
            </w:pPr>
            <w:r>
              <w:t>2024 год – 18 врача-кардиолога, 24 врача-невролога, 4 медицинская реабилитация, 3 рентгенваскулярные хирурги, 2 сердечно-сосудистая хирургия.</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shd w:val="clear" w:color="auto" w:fill="FFFFFF" w:themeFill="background1"/>
              <w:jc w:val="both"/>
            </w:pPr>
            <w:r>
              <w:t>10.13.</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pStyle w:val="37"/>
              <w:spacing w:after="0" w:line="240" w:lineRule="auto"/>
              <w:ind w:left="0"/>
              <w:jc w:val="both"/>
            </w:pPr>
            <w:r>
              <w:rPr>
                <w:rFonts w:ascii="Times New Roman" w:hAnsi="Times New Roman"/>
                <w:sz w:val="24"/>
                <w:szCs w:val="24"/>
              </w:rPr>
              <w:t xml:space="preserve">Обеспечение </w:t>
            </w:r>
            <w:r>
              <w:rPr>
                <w:rFonts w:ascii="Times New Roman" w:hAnsi="Times New Roman"/>
                <w:color w:val="000000"/>
                <w:sz w:val="24"/>
                <w:szCs w:val="24"/>
              </w:rPr>
              <w:t>укомплектованности профильными специалистами ПСО, РСЦ, в том числе анестезиологами-реаниматологами ПРИТ и БИТР; врачами по рентгенэндоваскулярной диагностике и лечению отделений рентгенхирургических методов лечения в соответствии с Приказами Минздрава России от 5 ноября 2015 г. №918н, от 15 ноября 2012 г. №928н.</w:t>
            </w:r>
          </w:p>
          <w:p w:rsidR="00ED7F17" w:rsidRDefault="00ED7F17" w:rsidP="006F7358">
            <w:pPr>
              <w:jc w:val="both"/>
              <w:rPr>
                <w:color w:val="000000"/>
              </w:rPr>
            </w:pP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rPr>
                <w:color w:val="000000"/>
              </w:rPr>
            </w:pPr>
            <w:r>
              <w:rPr>
                <w:color w:val="000000"/>
              </w:rPr>
              <w:t>01.09.</w:t>
            </w:r>
          </w:p>
          <w:p w:rsidR="00ED7F17" w:rsidRDefault="00ED7F17" w:rsidP="006F7358">
            <w:pPr>
              <w:jc w:val="both"/>
              <w:rPr>
                <w:color w:val="000000"/>
              </w:rPr>
            </w:pPr>
            <w:r>
              <w:rPr>
                <w:color w:val="000000"/>
              </w:rPr>
              <w:t>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rPr>
                <w:color w:val="000000"/>
              </w:rPr>
            </w:pPr>
            <w:r>
              <w:rPr>
                <w:color w:val="000000"/>
              </w:rPr>
              <w:t>31.12.</w:t>
            </w:r>
          </w:p>
          <w:p w:rsidR="00ED7F17" w:rsidRDefault="00ED7F17" w:rsidP="006F7358">
            <w:pPr>
              <w:jc w:val="both"/>
              <w:rPr>
                <w:color w:val="000000"/>
              </w:rPr>
            </w:pPr>
            <w:r>
              <w:rPr>
                <w:color w:val="000000"/>
              </w:rPr>
              <w:t>2024</w:t>
            </w:r>
          </w:p>
        </w:tc>
        <w:tc>
          <w:tcPr>
            <w:tcW w:w="3139" w:type="dxa"/>
            <w:gridSpan w:val="6"/>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rPr>
                <w:color w:val="000000"/>
              </w:rPr>
            </w:pPr>
            <w:r>
              <w:rPr>
                <w:color w:val="000000"/>
              </w:rPr>
              <w:t xml:space="preserve"> МЗ АО</w:t>
            </w:r>
          </w:p>
          <w:p w:rsidR="00ED7F17" w:rsidRDefault="00ED7F17" w:rsidP="006F7358">
            <w:pPr>
              <w:jc w:val="both"/>
              <w:rPr>
                <w:color w:val="000000"/>
              </w:rPr>
            </w:pPr>
          </w:p>
        </w:tc>
        <w:tc>
          <w:tcPr>
            <w:tcW w:w="4157"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rPr>
                <w:color w:val="000000"/>
              </w:rPr>
              <w:t>К 31.12.2024 году укомплектованность ПСО и РСЦ в соответствии с приказами МЗ РФ</w:t>
            </w:r>
          </w:p>
        </w:tc>
      </w:tr>
      <w:tr w:rsidR="00ED7F17" w:rsidTr="00274256">
        <w:trPr>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shd w:val="clear" w:color="auto" w:fill="FFFFFF" w:themeFill="background1"/>
              <w:jc w:val="both"/>
            </w:pPr>
            <w:r>
              <w:t>10.14</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pStyle w:val="37"/>
              <w:spacing w:after="0" w:line="240" w:lineRule="auto"/>
              <w:ind w:left="0"/>
              <w:jc w:val="both"/>
              <w:rPr>
                <w:rFonts w:ascii="Times New Roman" w:hAnsi="Times New Roman"/>
                <w:sz w:val="24"/>
                <w:szCs w:val="24"/>
              </w:rPr>
            </w:pPr>
            <w:r>
              <w:rPr>
                <w:rFonts w:ascii="Times New Roman" w:hAnsi="Times New Roman"/>
                <w:sz w:val="24"/>
                <w:szCs w:val="24"/>
              </w:rPr>
              <w:t>Пересмотр штатного расписания и подготовка (обучение) кадров для обеспечения эффективной работы мультидисциплинарной бригады в РСЦ и ПСО (врач ЛФК, физиотерапевт, инструкторы, инструкторы- методисты ЛФК, психолог, психотерапевт, логопед, реабилитолог, фониатр, массажист, рефлексотерапевт, диетолог).</w:t>
            </w:r>
          </w:p>
          <w:p w:rsidR="00ED7F17" w:rsidRDefault="00ED7F17" w:rsidP="006F7358">
            <w:pPr>
              <w:pStyle w:val="37"/>
              <w:spacing w:after="0" w:line="240" w:lineRule="auto"/>
              <w:ind w:left="0"/>
              <w:jc w:val="both"/>
              <w:rPr>
                <w:rFonts w:ascii="Times New Roman" w:hAnsi="Times New Roman"/>
                <w:sz w:val="24"/>
                <w:szCs w:val="24"/>
              </w:rPr>
            </w:pP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rPr>
                <w:color w:val="000000"/>
              </w:rPr>
            </w:pPr>
            <w:r>
              <w:rPr>
                <w:color w:val="000000"/>
              </w:rPr>
              <w:t>01.09.</w:t>
            </w:r>
          </w:p>
          <w:p w:rsidR="00ED7F17" w:rsidRDefault="00ED7F17" w:rsidP="006F7358">
            <w:pPr>
              <w:jc w:val="both"/>
              <w:rPr>
                <w:color w:val="000000"/>
              </w:rPr>
            </w:pPr>
            <w:r>
              <w:rPr>
                <w:color w:val="000000"/>
              </w:rPr>
              <w:t>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rPr>
                <w:color w:val="000000"/>
              </w:rPr>
            </w:pPr>
            <w:r>
              <w:rPr>
                <w:color w:val="000000"/>
              </w:rPr>
              <w:t>31.12</w:t>
            </w:r>
          </w:p>
          <w:p w:rsidR="00ED7F17" w:rsidRDefault="00ED7F17" w:rsidP="006F7358">
            <w:pPr>
              <w:jc w:val="both"/>
              <w:rPr>
                <w:color w:val="000000"/>
              </w:rPr>
            </w:pPr>
            <w:r>
              <w:rPr>
                <w:color w:val="000000"/>
              </w:rPr>
              <w:t>2019</w:t>
            </w:r>
          </w:p>
        </w:tc>
        <w:tc>
          <w:tcPr>
            <w:tcW w:w="3139" w:type="dxa"/>
            <w:gridSpan w:val="6"/>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rPr>
                <w:color w:val="000000"/>
              </w:rPr>
            </w:pPr>
            <w:r>
              <w:rPr>
                <w:color w:val="000000"/>
              </w:rPr>
              <w:t xml:space="preserve"> МЗ АО, ГБУ АГМУ</w:t>
            </w:r>
          </w:p>
          <w:p w:rsidR="00ED7F17" w:rsidRDefault="00ED7F17" w:rsidP="006F7358">
            <w:pPr>
              <w:jc w:val="both"/>
              <w:rPr>
                <w:color w:val="000000"/>
              </w:rPr>
            </w:pPr>
            <w:r>
              <w:rPr>
                <w:color w:val="000000"/>
              </w:rPr>
              <w:t>Профильные НМИЦ</w:t>
            </w:r>
          </w:p>
        </w:tc>
        <w:tc>
          <w:tcPr>
            <w:tcW w:w="4157"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rPr>
                <w:color w:val="000000"/>
              </w:rPr>
            </w:pPr>
            <w:r>
              <w:rPr>
                <w:color w:val="000000"/>
              </w:rPr>
              <w:t>К 01.09.2022 году все ПСО и РСЦ укомплектованы мультидициплинарными бригадами для проведения реабилитационных мероприятий</w:t>
            </w:r>
          </w:p>
        </w:tc>
      </w:tr>
      <w:tr w:rsidR="00ED7F17" w:rsidTr="00274256">
        <w:trPr>
          <w:trHeight w:val="3222"/>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shd w:val="clear" w:color="auto" w:fill="FFFFFF" w:themeFill="background1"/>
              <w:jc w:val="both"/>
            </w:pPr>
            <w:r>
              <w:t>10.15</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ED7F17">
            <w:pPr>
              <w:pStyle w:val="37"/>
              <w:numPr>
                <w:ilvl w:val="0"/>
                <w:numId w:val="15"/>
              </w:numPr>
              <w:spacing w:after="0" w:line="240" w:lineRule="auto"/>
              <w:ind w:left="0" w:firstLine="0"/>
              <w:jc w:val="both"/>
              <w:rPr>
                <w:rFonts w:ascii="Times New Roman" w:hAnsi="Times New Roman"/>
                <w:sz w:val="24"/>
                <w:szCs w:val="24"/>
              </w:rPr>
            </w:pPr>
            <w:r>
              <w:rPr>
                <w:rFonts w:ascii="Times New Roman" w:hAnsi="Times New Roman"/>
                <w:sz w:val="24"/>
                <w:szCs w:val="24"/>
              </w:rPr>
              <w:t>Оказание дополнительных мер социальной поддержки обучающимся в рамках целевой подготовки по программам специалиста и ординатруры (студентам ежемесячная стипендия от 600 руб. до 1000 руб. в зависимости от показательности учёбы, ординаторам ежемесячная стипендия 2000 руб.)</w:t>
            </w:r>
          </w:p>
        </w:tc>
        <w:tc>
          <w:tcPr>
            <w:tcW w:w="1322" w:type="dxa"/>
            <w:gridSpan w:val="3"/>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rPr>
                <w:color w:val="000000"/>
              </w:rPr>
            </w:pPr>
            <w:r>
              <w:rPr>
                <w:color w:val="000000"/>
              </w:rPr>
              <w:t>01.07.2019</w:t>
            </w:r>
          </w:p>
        </w:tc>
        <w:tc>
          <w:tcPr>
            <w:tcW w:w="1515"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rPr>
                <w:color w:val="000000"/>
              </w:rPr>
            </w:pPr>
            <w:r>
              <w:rPr>
                <w:color w:val="000000"/>
              </w:rPr>
              <w:t>31.12.2024</w:t>
            </w:r>
          </w:p>
        </w:tc>
        <w:tc>
          <w:tcPr>
            <w:tcW w:w="3139" w:type="dxa"/>
            <w:gridSpan w:val="6"/>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rPr>
                <w:color w:val="000000"/>
              </w:rPr>
            </w:pPr>
            <w:r>
              <w:rPr>
                <w:color w:val="000000"/>
              </w:rPr>
              <w:t>МЗ АО</w:t>
            </w:r>
          </w:p>
        </w:tc>
        <w:tc>
          <w:tcPr>
            <w:tcW w:w="4157" w:type="dxa"/>
            <w:gridSpan w:val="2"/>
            <w:tcBorders>
              <w:top w:val="single" w:sz="4" w:space="0" w:color="00000A"/>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shd w:val="clear" w:color="auto" w:fill="FFFFFF"/>
              <w:jc w:val="both"/>
            </w:pPr>
            <w:r>
              <w:t>Реализовано Постановление Правительства Астраханской области от 12.11.2014 №501 П «О социальной поддержке обучающихся по образовательным программам высшего образования очной формы обучения в государственных образовательной организации высшего образования, заключивших с МЗАО договоры о целевом обучении».</w:t>
            </w:r>
          </w:p>
          <w:p w:rsidR="00ED7F17" w:rsidRDefault="00ED7F17" w:rsidP="006F7358">
            <w:pPr>
              <w:jc w:val="both"/>
              <w:rPr>
                <w:color w:val="000000"/>
              </w:rPr>
            </w:pPr>
            <w:r>
              <w:t>Постановление размещено на сайте для информирования</w:t>
            </w:r>
          </w:p>
        </w:tc>
      </w:tr>
      <w:tr w:rsidR="00ED7F17" w:rsidTr="00274256">
        <w:trPr>
          <w:trHeight w:val="3222"/>
          <w:jc w:val="right"/>
        </w:trPr>
        <w:tc>
          <w:tcPr>
            <w:tcW w:w="1119" w:type="dxa"/>
            <w:gridSpan w:val="2"/>
            <w:tcBorders>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rPr>
                <w:bCs/>
                <w:color w:val="000000"/>
              </w:rPr>
              <w:t>10.16</w:t>
            </w:r>
          </w:p>
        </w:tc>
        <w:tc>
          <w:tcPr>
            <w:tcW w:w="4241" w:type="dxa"/>
            <w:gridSpan w:val="4"/>
            <w:tcBorders>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t>Укомплектовать МО врачами-специалистами для проведения реабилитации (в соответствии с действующими стандартами и приказами)</w:t>
            </w:r>
            <w:bookmarkStart w:id="6" w:name="_GoBack"/>
            <w:bookmarkEnd w:id="6"/>
          </w:p>
        </w:tc>
        <w:tc>
          <w:tcPr>
            <w:tcW w:w="1322" w:type="dxa"/>
            <w:gridSpan w:val="3"/>
            <w:tcBorders>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rPr>
                <w:bCs/>
                <w:iCs/>
              </w:rPr>
              <w:t>01.07.2019</w:t>
            </w:r>
          </w:p>
        </w:tc>
        <w:tc>
          <w:tcPr>
            <w:tcW w:w="1515" w:type="dxa"/>
            <w:gridSpan w:val="2"/>
            <w:tcBorders>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rPr>
                <w:bCs/>
                <w:iCs/>
              </w:rPr>
              <w:t>31.12.2024</w:t>
            </w:r>
          </w:p>
        </w:tc>
        <w:tc>
          <w:tcPr>
            <w:tcW w:w="3139" w:type="dxa"/>
            <w:gridSpan w:val="6"/>
            <w:tcBorders>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rPr>
                <w:bCs/>
                <w:iCs/>
              </w:rPr>
              <w:t>МЗ АО, главные врачи МО АО</w:t>
            </w:r>
          </w:p>
        </w:tc>
        <w:tc>
          <w:tcPr>
            <w:tcW w:w="4157" w:type="dxa"/>
            <w:gridSpan w:val="2"/>
            <w:tcBorders>
              <w:left w:val="single" w:sz="4" w:space="0" w:color="00000A"/>
              <w:bottom w:val="single" w:sz="4" w:space="0" w:color="00000A"/>
              <w:right w:val="single" w:sz="4" w:space="0" w:color="00000A"/>
            </w:tcBorders>
            <w:shd w:val="clear" w:color="auto" w:fill="auto"/>
            <w:tcMar>
              <w:left w:w="78" w:type="dxa"/>
            </w:tcMar>
          </w:tcPr>
          <w:p w:rsidR="00ED7F17" w:rsidRDefault="00ED7F17" w:rsidP="006F7358">
            <w:pPr>
              <w:jc w:val="both"/>
            </w:pPr>
            <w:r>
              <w:t>В МО АО работает не менее 40 врачей-специалистов для проведения реабилитации. Привлечены врачи: психологи, врачи механотерапевты, логопеды</w:t>
            </w:r>
          </w:p>
        </w:tc>
      </w:tr>
      <w:tr w:rsidR="00ED7F17" w:rsidTr="00274256">
        <w:trPr>
          <w:gridAfter w:val="1"/>
          <w:wAfter w:w="57" w:type="dxa"/>
          <w:trHeight w:val="57"/>
          <w:jc w:val="right"/>
        </w:trPr>
        <w:tc>
          <w:tcPr>
            <w:tcW w:w="15436" w:type="dxa"/>
            <w:gridSpan w:val="18"/>
            <w:tcBorders>
              <w:top w:val="single" w:sz="4" w:space="0" w:color="00000A"/>
              <w:left w:val="single" w:sz="4" w:space="0" w:color="00000A"/>
              <w:bottom w:val="single" w:sz="4" w:space="0" w:color="00000A"/>
              <w:right w:val="single" w:sz="4" w:space="0" w:color="00000A"/>
            </w:tcBorders>
            <w:shd w:val="clear" w:color="auto" w:fill="FFFFFF" w:themeFill="background1"/>
            <w:tcMar>
              <w:left w:w="88" w:type="dxa"/>
            </w:tcMar>
          </w:tcPr>
          <w:p w:rsidR="00ED7F17" w:rsidRDefault="00ED7F17" w:rsidP="006F7358">
            <w:pPr>
              <w:jc w:val="both"/>
              <w:rPr>
                <w:b/>
              </w:rPr>
            </w:pPr>
            <w:r>
              <w:rPr>
                <w:b/>
              </w:rPr>
              <w:t>11. Организационно – методическое обеспечение качества оказания медицинской помощи</w:t>
            </w:r>
          </w:p>
        </w:tc>
      </w:tr>
      <w:tr w:rsidR="00ED7F17" w:rsidTr="00274256">
        <w:trPr>
          <w:gridAfter w:val="1"/>
          <w:wAfter w:w="57" w:type="dxa"/>
          <w:trHeight w:val="57"/>
          <w:jc w:val="right"/>
        </w:trPr>
        <w:tc>
          <w:tcPr>
            <w:tcW w:w="15436" w:type="dxa"/>
            <w:gridSpan w:val="18"/>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b/>
                <w:bCs/>
                <w:color w:val="000000"/>
              </w:rPr>
            </w:pPr>
            <w:r>
              <w:rPr>
                <w:b/>
                <w:bCs/>
                <w:color w:val="000000"/>
              </w:rPr>
              <w:t xml:space="preserve">Обеспечение возможности оказания телемедицинских консультаций для медицинских организаций </w:t>
            </w:r>
          </w:p>
          <w:p w:rsidR="00ED7F17" w:rsidRDefault="00ED7F17" w:rsidP="006F7358">
            <w:pPr>
              <w:jc w:val="both"/>
            </w:pPr>
            <w:r>
              <w:rPr>
                <w:b/>
                <w:bCs/>
                <w:color w:val="000000"/>
              </w:rPr>
              <w:t>Астраханской области</w:t>
            </w:r>
          </w:p>
        </w:tc>
      </w:tr>
      <w:tr w:rsidR="00274256" w:rsidTr="00274256">
        <w:trPr>
          <w:gridAfter w:val="1"/>
          <w:wAfter w:w="57" w:type="dxa"/>
          <w:trHeight w:val="2446"/>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11.1</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Организация и обеспечение функционирования телемедицинского кабинета консультаций с целью повышения эффективности оказания медицинской помощи пациентам с ССЗ и улучшение результатов их лечения.</w:t>
            </w:r>
          </w:p>
        </w:tc>
        <w:tc>
          <w:tcPr>
            <w:tcW w:w="127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 01.07.2019 </w:t>
            </w:r>
          </w:p>
        </w:tc>
        <w:tc>
          <w:tcPr>
            <w:tcW w:w="1685"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 31.12.2019</w:t>
            </w:r>
          </w:p>
        </w:tc>
        <w:tc>
          <w:tcPr>
            <w:tcW w:w="2988"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Главный врач ГБУЗ АО АМОКБ, главные врачи МО АО</w:t>
            </w:r>
          </w:p>
        </w:tc>
        <w:tc>
          <w:tcPr>
            <w:tcW w:w="4128"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Организован и оборудован телемедицинский кабинет ГБУЗ АО АМОКБ и обеспечена техническая возможность применения телемедицинских технологий в МО АО</w:t>
            </w:r>
          </w:p>
        </w:tc>
      </w:tr>
      <w:tr w:rsidR="00274256" w:rsidTr="00274256">
        <w:trPr>
          <w:gridAfter w:val="1"/>
          <w:wAfter w:w="57" w:type="dxa"/>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rFonts w:eastAsia="Arial"/>
                <w:color w:val="000000"/>
              </w:rPr>
            </w:pPr>
            <w:r>
              <w:rPr>
                <w:color w:val="000000"/>
              </w:rPr>
              <w:t>11.1.1.</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Организация и функционирование телемедицинского кабинета по ССЗ на базе КДЦ ГБУЗ АО АМОКБ для решения оперативных задач организационно-методического и консультативного характера на основе 24/7</w:t>
            </w:r>
          </w:p>
        </w:tc>
        <w:tc>
          <w:tcPr>
            <w:tcW w:w="127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rFonts w:eastAsia="Arial"/>
                <w:color w:val="000000"/>
              </w:rPr>
            </w:pPr>
            <w:r>
              <w:rPr>
                <w:rFonts w:eastAsia="Arial"/>
                <w:color w:val="000000"/>
              </w:rPr>
              <w:t>01.08.2019</w:t>
            </w:r>
          </w:p>
        </w:tc>
        <w:tc>
          <w:tcPr>
            <w:tcW w:w="1685"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rFonts w:eastAsia="Arial"/>
                <w:color w:val="000000"/>
              </w:rPr>
            </w:pPr>
            <w:r>
              <w:rPr>
                <w:rFonts w:eastAsia="Arial"/>
                <w:color w:val="000000"/>
              </w:rPr>
              <w:t>31.12.2019</w:t>
            </w:r>
          </w:p>
        </w:tc>
        <w:tc>
          <w:tcPr>
            <w:tcW w:w="2988"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 xml:space="preserve">главный врач ГБУЗ АО АМОКБ, </w:t>
            </w:r>
          </w:p>
          <w:p w:rsidR="00ED7F17" w:rsidRDefault="00ED7F17" w:rsidP="006F7358">
            <w:pPr>
              <w:jc w:val="both"/>
            </w:pPr>
            <w:r>
              <w:rPr>
                <w:rFonts w:eastAsia="Arial"/>
                <w:color w:val="000000"/>
              </w:rPr>
              <w:t>главные внештатные специалисты МЗ АО</w:t>
            </w:r>
          </w:p>
          <w:p w:rsidR="00ED7F17" w:rsidRDefault="00ED7F17" w:rsidP="006F7358">
            <w:pPr>
              <w:jc w:val="both"/>
              <w:rPr>
                <w:color w:val="000000"/>
              </w:rPr>
            </w:pPr>
          </w:p>
        </w:tc>
        <w:tc>
          <w:tcPr>
            <w:tcW w:w="4128"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Обеспечено достижение целевых показателей маршрутизации, снижение госпитальной летальности</w:t>
            </w:r>
          </w:p>
          <w:p w:rsidR="00ED7F17" w:rsidRDefault="00ED7F17" w:rsidP="006F7358">
            <w:pPr>
              <w:jc w:val="both"/>
              <w:rPr>
                <w:color w:val="000000"/>
              </w:rPr>
            </w:pPr>
            <w:r>
              <w:rPr>
                <w:color w:val="000000"/>
              </w:rPr>
              <w:t>Проводятся консультации пациентов с ОНМК и ОКС</w:t>
            </w:r>
          </w:p>
          <w:p w:rsidR="00ED7F17" w:rsidRDefault="00ED7F17" w:rsidP="006F7358">
            <w:pPr>
              <w:tabs>
                <w:tab w:val="left" w:pos="1400"/>
              </w:tabs>
              <w:jc w:val="both"/>
            </w:pPr>
            <w:r>
              <w:rPr>
                <w:color w:val="000000"/>
              </w:rPr>
              <w:t>Обеспечивается помощь организационно-методического и консультативного характера в маршрутизации пациентов из ЛПУ 1 и 2 уровней, ПСО и РСЦ</w:t>
            </w:r>
          </w:p>
        </w:tc>
      </w:tr>
      <w:tr w:rsidR="00274256" w:rsidTr="00274256">
        <w:trPr>
          <w:gridAfter w:val="1"/>
          <w:wAfter w:w="57" w:type="dxa"/>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11.2</w:t>
            </w:r>
            <w:r>
              <w:rPr>
                <w:rFonts w:eastAsia="Arial"/>
                <w:color w:val="000000"/>
              </w:rPr>
              <w:t>.</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 xml:space="preserve">В районных больницах организована возможность оказания  медицинской помощи с применением телемедицинских консультаций (далее – ТМК) со специалистами ГБУЗ АО АМОКБ в круглосуточном режиме </w:t>
            </w:r>
          </w:p>
        </w:tc>
        <w:tc>
          <w:tcPr>
            <w:tcW w:w="127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rFonts w:eastAsia="Arial"/>
                <w:color w:val="000000"/>
              </w:rPr>
            </w:pPr>
            <w:r>
              <w:rPr>
                <w:rFonts w:eastAsia="Arial"/>
                <w:color w:val="000000"/>
              </w:rPr>
              <w:t> 01.07.2019 </w:t>
            </w:r>
          </w:p>
        </w:tc>
        <w:tc>
          <w:tcPr>
            <w:tcW w:w="1685"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rFonts w:eastAsia="Arial"/>
                <w:color w:val="000000"/>
              </w:rPr>
            </w:pPr>
            <w:r>
              <w:rPr>
                <w:rFonts w:eastAsia="Arial"/>
                <w:color w:val="000000"/>
              </w:rPr>
              <w:t> 31.12.2024</w:t>
            </w:r>
          </w:p>
        </w:tc>
        <w:tc>
          <w:tcPr>
            <w:tcW w:w="2988"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главный врач ГБУЗ АО АМОКБ, главный врач МЗ АО</w:t>
            </w:r>
          </w:p>
          <w:p w:rsidR="00ED7F17" w:rsidRDefault="00ED7F17" w:rsidP="006F7358">
            <w:pPr>
              <w:jc w:val="both"/>
              <w:rPr>
                <w:color w:val="000000"/>
              </w:rPr>
            </w:pPr>
          </w:p>
        </w:tc>
        <w:tc>
          <w:tcPr>
            <w:tcW w:w="4128"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 xml:space="preserve">Ежегодно специалистами отделения экстренной консультативной помощи проводится не менее 100 консультаций с применением ТМК </w:t>
            </w:r>
            <w:r>
              <w:rPr>
                <w:rFonts w:eastAsia="Arial"/>
                <w:color w:val="000000"/>
              </w:rPr>
              <w:t>пациентам с ССЗ</w:t>
            </w:r>
            <w:r>
              <w:rPr>
                <w:color w:val="000000"/>
              </w:rPr>
              <w:t>.</w:t>
            </w:r>
          </w:p>
        </w:tc>
      </w:tr>
      <w:tr w:rsidR="00274256" w:rsidTr="00274256">
        <w:trPr>
          <w:gridAfter w:val="1"/>
          <w:wAfter w:w="57" w:type="dxa"/>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11.3</w:t>
            </w:r>
            <w:r>
              <w:rPr>
                <w:rFonts w:eastAsia="Arial"/>
                <w:color w:val="000000"/>
              </w:rPr>
              <w:t>.</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rFonts w:eastAsia="Arial"/>
                <w:color w:val="000000"/>
              </w:rPr>
            </w:pPr>
            <w:r>
              <w:rPr>
                <w:color w:val="000000"/>
              </w:rPr>
              <w:t xml:space="preserve">Разработка и </w:t>
            </w:r>
            <w:r>
              <w:rPr>
                <w:rFonts w:eastAsia="Arial"/>
                <w:color w:val="000000"/>
              </w:rPr>
              <w:t>реализ</w:t>
            </w:r>
            <w:r>
              <w:rPr>
                <w:color w:val="000000"/>
              </w:rPr>
              <w:t>ация</w:t>
            </w:r>
            <w:r>
              <w:rPr>
                <w:rFonts w:eastAsia="Arial"/>
                <w:color w:val="000000"/>
              </w:rPr>
              <w:t xml:space="preserve"> плана проведения консу</w:t>
            </w:r>
            <w:r>
              <w:rPr>
                <w:color w:val="000000"/>
              </w:rPr>
              <w:t xml:space="preserve">льтаций/консилиумов пациентов с </w:t>
            </w:r>
            <w:r>
              <w:rPr>
                <w:rFonts w:eastAsia="Arial"/>
                <w:color w:val="000000"/>
              </w:rPr>
              <w:t>ССЗ, в</w:t>
            </w:r>
            <w:r>
              <w:rPr>
                <w:color w:val="000000"/>
              </w:rPr>
              <w:t xml:space="preserve"> </w:t>
            </w:r>
            <w:r>
              <w:rPr>
                <w:rFonts w:eastAsia="Arial"/>
                <w:color w:val="000000"/>
              </w:rPr>
              <w:t>том числе с</w:t>
            </w:r>
            <w:r>
              <w:rPr>
                <w:color w:val="000000"/>
              </w:rPr>
              <w:t xml:space="preserve"> </w:t>
            </w:r>
            <w:r>
              <w:rPr>
                <w:rFonts w:eastAsia="Arial"/>
                <w:color w:val="000000"/>
              </w:rPr>
              <w:t xml:space="preserve">применением </w:t>
            </w:r>
            <w:r>
              <w:rPr>
                <w:color w:val="000000"/>
              </w:rPr>
              <w:t>ТМК с</w:t>
            </w:r>
            <w:r>
              <w:rPr>
                <w:rFonts w:eastAsia="Arial"/>
                <w:color w:val="000000"/>
              </w:rPr>
              <w:t>овместно с профильными национальными медицинскими исследо</w:t>
            </w:r>
            <w:r>
              <w:rPr>
                <w:color w:val="000000"/>
              </w:rPr>
              <w:t>вательскими центрами, в том числе с федеральными учреждениями – национальными медико-исследовательскими центрами ФГБУ «ННПЦССХ им. А.Н. Бакулева» МЗ РФ и ФГБУ «НМИЦ им. В. А. Алмазова» МЗ РФ по направлениям: кардиология, неврология, сердечно-сосудистая хирургия, нейрохирургия</w:t>
            </w:r>
          </w:p>
        </w:tc>
        <w:tc>
          <w:tcPr>
            <w:tcW w:w="127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rFonts w:eastAsia="Arial"/>
                <w:color w:val="000000"/>
              </w:rPr>
            </w:pPr>
            <w:r>
              <w:rPr>
                <w:rFonts w:eastAsia="Arial"/>
                <w:color w:val="000000"/>
              </w:rPr>
              <w:t>01.08.2019</w:t>
            </w:r>
          </w:p>
        </w:tc>
        <w:tc>
          <w:tcPr>
            <w:tcW w:w="1685"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rFonts w:eastAsia="Arial"/>
                <w:color w:val="000000"/>
              </w:rPr>
            </w:pPr>
            <w:r>
              <w:rPr>
                <w:rFonts w:eastAsia="Arial"/>
                <w:color w:val="000000"/>
              </w:rPr>
              <w:t>31.12.2020</w:t>
            </w:r>
          </w:p>
        </w:tc>
        <w:tc>
          <w:tcPr>
            <w:tcW w:w="2988"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главный врач ГБУЗ АО АМОКБ, главные врачи МЗ АО,</w:t>
            </w:r>
          </w:p>
          <w:p w:rsidR="00ED7F17" w:rsidRDefault="00ED7F17" w:rsidP="006F7358">
            <w:pPr>
              <w:jc w:val="both"/>
            </w:pPr>
            <w:r>
              <w:rPr>
                <w:rFonts w:eastAsia="Arial"/>
                <w:color w:val="000000"/>
              </w:rPr>
              <w:t>главные внештатные специалисты</w:t>
            </w:r>
          </w:p>
          <w:p w:rsidR="00ED7F17" w:rsidRDefault="00ED7F17" w:rsidP="006F7358">
            <w:pPr>
              <w:jc w:val="both"/>
              <w:rPr>
                <w:rFonts w:eastAsia="Arial"/>
                <w:color w:val="000000"/>
              </w:rPr>
            </w:pPr>
            <w:r>
              <w:rPr>
                <w:rFonts w:eastAsia="Arial"/>
                <w:color w:val="000000"/>
              </w:rPr>
              <w:t>МЗ АО</w:t>
            </w:r>
          </w:p>
        </w:tc>
        <w:tc>
          <w:tcPr>
            <w:tcW w:w="4128"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91552F">
            <w:pPr>
              <w:jc w:val="both"/>
              <w:rPr>
                <w:rFonts w:eastAsia="Arial"/>
                <w:color w:val="000000"/>
              </w:rPr>
            </w:pPr>
            <w:r>
              <w:rPr>
                <w:rFonts w:eastAsia="Arial"/>
                <w:color w:val="000000"/>
              </w:rPr>
              <w:t>Повышение эффективности и стандартизации оказания медицинской помощи пациентам с ССЗ и улучшение результатов их лечения. Будет осуществлено не менее 3 выездов сотрудников профильных национальных медицинских исследовательских центров в медицинские организации субъекта (и/или их структурные подразделения). Обеспечение своевременного внедрения в практику новых методов диагностики, лечения и медицинской реабилитации пациентов с ССЗ.</w:t>
            </w:r>
          </w:p>
        </w:tc>
      </w:tr>
      <w:tr w:rsidR="00274256" w:rsidTr="00274256">
        <w:trPr>
          <w:gridAfter w:val="1"/>
          <w:wAfter w:w="57" w:type="dxa"/>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11.4.</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Определение и организация применения протоколов для всех видов консультаций с применением ТМК для пациентов с ССЗ</w:t>
            </w:r>
          </w:p>
        </w:tc>
        <w:tc>
          <w:tcPr>
            <w:tcW w:w="127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01.07.2019</w:t>
            </w:r>
          </w:p>
        </w:tc>
        <w:tc>
          <w:tcPr>
            <w:tcW w:w="1685"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31.12.2019</w:t>
            </w:r>
          </w:p>
        </w:tc>
        <w:tc>
          <w:tcPr>
            <w:tcW w:w="2988"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главный врач ГБУЗ АО АМОКБ, главные врачи МО АО</w:t>
            </w:r>
          </w:p>
        </w:tc>
        <w:tc>
          <w:tcPr>
            <w:tcW w:w="4128"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color w:val="000000"/>
              </w:rPr>
              <w:t xml:space="preserve">Все консультации с применением ТМК для пациентов с ССЗ оформлены в соответствии с утвержденными формами протоколов консультаций. </w:t>
            </w:r>
            <w:r>
              <w:rPr>
                <w:rFonts w:eastAsia="Arial"/>
                <w:color w:val="000000"/>
              </w:rPr>
              <w:t>Стра</w:t>
            </w:r>
            <w:r>
              <w:rPr>
                <w:color w:val="000000"/>
              </w:rPr>
              <w:t xml:space="preserve">ховые медицинские организации в </w:t>
            </w:r>
            <w:r>
              <w:rPr>
                <w:rFonts w:eastAsia="Arial"/>
                <w:color w:val="000000"/>
              </w:rPr>
              <w:t xml:space="preserve">ходе контрольно-экспертных мероприятий оказания медицинской помощи </w:t>
            </w:r>
            <w:r>
              <w:rPr>
                <w:color w:val="000000"/>
              </w:rPr>
              <w:t xml:space="preserve">оценивают </w:t>
            </w:r>
            <w:r>
              <w:rPr>
                <w:rFonts w:eastAsia="Arial"/>
                <w:color w:val="000000"/>
              </w:rPr>
              <w:t>испо</w:t>
            </w:r>
            <w:r>
              <w:rPr>
                <w:color w:val="000000"/>
              </w:rPr>
              <w:t xml:space="preserve">лнение рекомендаций, выданных в </w:t>
            </w:r>
            <w:r>
              <w:rPr>
                <w:rFonts w:eastAsia="Arial"/>
                <w:color w:val="000000"/>
              </w:rPr>
              <w:t>резуль</w:t>
            </w:r>
            <w:r>
              <w:rPr>
                <w:color w:val="000000"/>
              </w:rPr>
              <w:t xml:space="preserve">тате консультаций/консилиумов и принимать меры при </w:t>
            </w:r>
            <w:r>
              <w:rPr>
                <w:rFonts w:eastAsia="Arial"/>
                <w:color w:val="000000"/>
              </w:rPr>
              <w:t>выявлении дефектов в</w:t>
            </w:r>
            <w:r>
              <w:rPr>
                <w:color w:val="000000"/>
              </w:rPr>
              <w:t xml:space="preserve"> </w:t>
            </w:r>
            <w:r>
              <w:rPr>
                <w:rFonts w:eastAsia="Arial"/>
                <w:color w:val="000000"/>
              </w:rPr>
              <w:t>оказании медицинской помощи.</w:t>
            </w:r>
          </w:p>
        </w:tc>
      </w:tr>
      <w:tr w:rsidR="00274256" w:rsidTr="00274256">
        <w:trPr>
          <w:gridAfter w:val="1"/>
          <w:wAfter w:w="57" w:type="dxa"/>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11.5.</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rFonts w:eastAsia="Arial"/>
                <w:color w:val="000000"/>
                <w:lang w:eastAsia="ru-RU"/>
              </w:rPr>
              <w:t xml:space="preserve">Обеспечение внедрения в работу медицинских организаций </w:t>
            </w:r>
          </w:p>
          <w:p w:rsidR="00ED7F17" w:rsidRDefault="00ED7F17" w:rsidP="006F7358">
            <w:pPr>
              <w:jc w:val="both"/>
              <w:rPr>
                <w:color w:val="000000"/>
              </w:rPr>
            </w:pPr>
            <w:r>
              <w:rPr>
                <w:rFonts w:eastAsia="Arial"/>
                <w:color w:val="000000"/>
                <w:lang w:eastAsia="ru-RU"/>
              </w:rPr>
              <w:t>функциональных возможностей</w:t>
            </w:r>
          </w:p>
          <w:p w:rsidR="00ED7F17" w:rsidRDefault="00ED7F17" w:rsidP="006F7358">
            <w:pPr>
              <w:jc w:val="both"/>
              <w:rPr>
                <w:color w:val="000000"/>
              </w:rPr>
            </w:pPr>
            <w:r>
              <w:rPr>
                <w:rFonts w:eastAsia="Arial"/>
                <w:color w:val="000000"/>
                <w:lang w:eastAsia="ru-RU"/>
              </w:rPr>
              <w:t>централизованной системы (подсистемы) «Организация оказания медицинской помощи больным с сердечно-сосудистыми заболеваниями» государственной медицинской информационной системы Астраханской области (далее – ГМИС АО)</w:t>
            </w:r>
          </w:p>
        </w:tc>
        <w:tc>
          <w:tcPr>
            <w:tcW w:w="127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rFonts w:eastAsia="Arial"/>
                <w:color w:val="000000"/>
                <w:lang w:eastAsia="ru-RU"/>
              </w:rPr>
              <w:t>01.11.2019</w:t>
            </w:r>
          </w:p>
        </w:tc>
        <w:tc>
          <w:tcPr>
            <w:tcW w:w="1685"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rFonts w:eastAsia="Arial"/>
                <w:color w:val="000000"/>
                <w:lang w:eastAsia="ru-RU"/>
              </w:rPr>
              <w:t>31.12.2024</w:t>
            </w:r>
          </w:p>
        </w:tc>
        <w:tc>
          <w:tcPr>
            <w:tcW w:w="2988"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rFonts w:eastAsia="Arial"/>
                <w:color w:val="000000"/>
                <w:lang w:eastAsia="ru-RU"/>
              </w:rPr>
              <w:t>Министерство здравоохранения Астраханской области</w:t>
            </w:r>
          </w:p>
          <w:p w:rsidR="00ED7F17" w:rsidRDefault="00ED7F17" w:rsidP="006F7358">
            <w:pPr>
              <w:jc w:val="both"/>
              <w:rPr>
                <w:color w:val="000000"/>
              </w:rPr>
            </w:pPr>
            <w:r>
              <w:rPr>
                <w:rFonts w:eastAsia="Arial"/>
                <w:color w:val="000000"/>
                <w:lang w:eastAsia="ru-RU"/>
              </w:rPr>
              <w:t>ГБУЗ АО «МИАЦ»</w:t>
            </w:r>
          </w:p>
          <w:p w:rsidR="00ED7F17" w:rsidRDefault="00ED7F17" w:rsidP="006F7358">
            <w:pPr>
              <w:jc w:val="both"/>
              <w:rPr>
                <w:color w:val="000000"/>
              </w:rPr>
            </w:pPr>
            <w:r>
              <w:rPr>
                <w:rFonts w:eastAsia="Arial"/>
                <w:color w:val="000000"/>
                <w:lang w:eastAsia="ru-RU"/>
              </w:rPr>
              <w:t>Руководители медицинских организаций</w:t>
            </w:r>
          </w:p>
        </w:tc>
        <w:tc>
          <w:tcPr>
            <w:tcW w:w="4128"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rFonts w:eastAsia="Arial"/>
                <w:color w:val="000000"/>
                <w:lang w:eastAsia="ru-RU"/>
              </w:rPr>
              <w:t>В 100% заинтересованных структурных подразделений государственных медицинских организаций, в том числе в районах области, внедрено и обеспечено использование функциональных возможностей</w:t>
            </w:r>
          </w:p>
          <w:p w:rsidR="00ED7F17" w:rsidRDefault="00ED7F17" w:rsidP="006F7358">
            <w:pPr>
              <w:jc w:val="both"/>
              <w:rPr>
                <w:color w:val="000000"/>
              </w:rPr>
            </w:pPr>
            <w:r>
              <w:rPr>
                <w:rFonts w:eastAsia="Arial"/>
                <w:color w:val="000000"/>
                <w:lang w:eastAsia="ru-RU"/>
              </w:rPr>
              <w:t xml:space="preserve">централизованной системы (подсистемы) «Организация оказания медицинской помощи больным онкологическими заболеваниями» ГМИС АО, в соответствии с методическими рекомендациями, утвержденными Минздравом России </w:t>
            </w:r>
          </w:p>
        </w:tc>
      </w:tr>
      <w:tr w:rsidR="00274256" w:rsidTr="00274256">
        <w:trPr>
          <w:gridAfter w:val="1"/>
          <w:wAfter w:w="57" w:type="dxa"/>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11.6.</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rFonts w:eastAsia="Arial"/>
                <w:color w:val="000000"/>
                <w:lang w:eastAsia="ru-RU"/>
              </w:rPr>
              <w:t>Унификация ведения электронной медицинской документации и справочников.</w:t>
            </w:r>
          </w:p>
          <w:p w:rsidR="00ED7F17" w:rsidRDefault="00ED7F17" w:rsidP="006F7358">
            <w:pPr>
              <w:jc w:val="both"/>
              <w:rPr>
                <w:rFonts w:eastAsia="Arial"/>
                <w:color w:val="000000"/>
                <w:lang w:eastAsia="ru-RU"/>
              </w:rPr>
            </w:pPr>
          </w:p>
        </w:tc>
        <w:tc>
          <w:tcPr>
            <w:tcW w:w="127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rFonts w:eastAsia="Arial"/>
                <w:color w:val="000000"/>
                <w:lang w:eastAsia="ru-RU"/>
              </w:rPr>
              <w:t>01.11.2019</w:t>
            </w:r>
          </w:p>
        </w:tc>
        <w:tc>
          <w:tcPr>
            <w:tcW w:w="1685"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rFonts w:eastAsia="Arial"/>
                <w:color w:val="000000"/>
                <w:lang w:eastAsia="ru-RU"/>
              </w:rPr>
              <w:t>31.12.2024</w:t>
            </w:r>
          </w:p>
        </w:tc>
        <w:tc>
          <w:tcPr>
            <w:tcW w:w="2988"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rFonts w:eastAsia="Arial"/>
                <w:color w:val="000000"/>
                <w:lang w:eastAsia="ru-RU"/>
              </w:rPr>
              <w:t>Министерство здравоохранения Астраханской области</w:t>
            </w:r>
          </w:p>
          <w:p w:rsidR="00ED7F17" w:rsidRDefault="00ED7F17" w:rsidP="006F7358">
            <w:pPr>
              <w:jc w:val="both"/>
              <w:rPr>
                <w:color w:val="000000"/>
              </w:rPr>
            </w:pPr>
            <w:r>
              <w:rPr>
                <w:rFonts w:eastAsia="Arial"/>
                <w:color w:val="000000"/>
                <w:lang w:eastAsia="ru-RU"/>
              </w:rPr>
              <w:t>ГБУЗ АО «МИАЦ»</w:t>
            </w:r>
          </w:p>
          <w:p w:rsidR="00ED7F17" w:rsidRDefault="00ED7F17" w:rsidP="006F7358">
            <w:pPr>
              <w:jc w:val="both"/>
              <w:rPr>
                <w:color w:val="000000"/>
              </w:rPr>
            </w:pPr>
            <w:r>
              <w:rPr>
                <w:rFonts w:eastAsia="Arial"/>
                <w:color w:val="000000"/>
                <w:lang w:eastAsia="ru-RU"/>
              </w:rPr>
              <w:t>Руководители медицинских организаций</w:t>
            </w:r>
          </w:p>
        </w:tc>
        <w:tc>
          <w:tcPr>
            <w:tcW w:w="4128"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rFonts w:eastAsia="Arial"/>
                <w:color w:val="000000"/>
                <w:lang w:eastAsia="ru-RU"/>
              </w:rPr>
              <w:t>В 100% заинтересованных структурных подразделений государственных медицинских организаций обеспечено ведение, хранение, поиск и выдача по информационным запросам (в том числе и по электронным каналам связи) сведений по всем случаям обращения пациента за медицинской помощью в медицинские организации.</w:t>
            </w:r>
          </w:p>
        </w:tc>
      </w:tr>
      <w:tr w:rsidR="00274256" w:rsidTr="00274256">
        <w:trPr>
          <w:gridAfter w:val="1"/>
          <w:wAfter w:w="57" w:type="dxa"/>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11.7.</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rFonts w:eastAsia="Arial"/>
                <w:color w:val="000000"/>
                <w:lang w:eastAsia="ru-RU"/>
              </w:rPr>
              <w:t>Применение систем электронной очереди для амбулаторных и стационарных пациентов посредством ГМИС АО (функционирует централизованная система «Управление потоками пациентов»), реализуемой в рамках проекта «Создание единого цифрового контура в системе здравоохранения»</w:t>
            </w:r>
          </w:p>
          <w:p w:rsidR="00ED7F17" w:rsidRDefault="00ED7F17" w:rsidP="006F7358">
            <w:pPr>
              <w:jc w:val="both"/>
              <w:rPr>
                <w:color w:val="000000"/>
              </w:rPr>
            </w:pPr>
            <w:r>
              <w:rPr>
                <w:rFonts w:eastAsia="Arial"/>
                <w:color w:val="000000"/>
                <w:lang w:eastAsia="ru-RU"/>
              </w:rPr>
              <w:t xml:space="preserve">Обеспечение оперативного получения и анализа данных по маршрутизации первичных пациентов. </w:t>
            </w:r>
          </w:p>
          <w:p w:rsidR="00ED7F17" w:rsidRDefault="00ED7F17" w:rsidP="006F7358">
            <w:pPr>
              <w:jc w:val="both"/>
              <w:rPr>
                <w:color w:val="000000"/>
              </w:rPr>
            </w:pPr>
            <w:r>
              <w:rPr>
                <w:rFonts w:eastAsia="Arial"/>
                <w:color w:val="000000"/>
                <w:lang w:eastAsia="ru-RU"/>
              </w:rPr>
              <w:t>Мониторинг, планирование и управление потоками пациентов с сердечно-сосудистыми заболеваниями при оказании медицинской помощи.</w:t>
            </w:r>
          </w:p>
        </w:tc>
        <w:tc>
          <w:tcPr>
            <w:tcW w:w="127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rFonts w:eastAsia="Arial"/>
                <w:color w:val="000000"/>
                <w:lang w:eastAsia="ru-RU"/>
              </w:rPr>
              <w:t>01.01.2019</w:t>
            </w:r>
          </w:p>
        </w:tc>
        <w:tc>
          <w:tcPr>
            <w:tcW w:w="1685"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rFonts w:eastAsia="Arial"/>
                <w:color w:val="000000"/>
                <w:lang w:eastAsia="ru-RU"/>
              </w:rPr>
              <w:t>31.12.2024</w:t>
            </w:r>
          </w:p>
        </w:tc>
        <w:tc>
          <w:tcPr>
            <w:tcW w:w="2988"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rFonts w:eastAsia="Arial"/>
                <w:color w:val="000000"/>
                <w:lang w:eastAsia="ru-RU"/>
              </w:rPr>
              <w:t>Министерство здравоохранения Астраханской области</w:t>
            </w:r>
          </w:p>
          <w:p w:rsidR="00ED7F17" w:rsidRDefault="00ED7F17" w:rsidP="006F7358">
            <w:pPr>
              <w:jc w:val="both"/>
              <w:rPr>
                <w:color w:val="000000"/>
              </w:rPr>
            </w:pPr>
            <w:r>
              <w:rPr>
                <w:rFonts w:eastAsia="Arial"/>
                <w:color w:val="000000"/>
                <w:lang w:eastAsia="ru-RU"/>
              </w:rPr>
              <w:t>ГБУЗ АО «МИАЦ»</w:t>
            </w:r>
          </w:p>
          <w:p w:rsidR="00ED7F17" w:rsidRDefault="00ED7F17" w:rsidP="006F7358">
            <w:pPr>
              <w:jc w:val="both"/>
              <w:rPr>
                <w:color w:val="000000"/>
              </w:rPr>
            </w:pPr>
            <w:r>
              <w:rPr>
                <w:rFonts w:eastAsia="Arial"/>
                <w:color w:val="000000"/>
                <w:lang w:eastAsia="ru-RU"/>
              </w:rPr>
              <w:t>Руководители медицинских организаций</w:t>
            </w:r>
          </w:p>
        </w:tc>
        <w:tc>
          <w:tcPr>
            <w:tcW w:w="4128"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rFonts w:eastAsia="Arial"/>
                <w:color w:val="000000"/>
                <w:lang w:eastAsia="ru-RU"/>
              </w:rPr>
              <w:t>В государственных медицинских организациях обеспечено функционирование централизованной системы «Управление потоками пациентов» в соответствии с методическими рекомендациями, утвержденными Минздравом России.</w:t>
            </w:r>
          </w:p>
          <w:p w:rsidR="00ED7F17" w:rsidRDefault="00ED7F17" w:rsidP="006F7358">
            <w:pPr>
              <w:jc w:val="both"/>
              <w:rPr>
                <w:rFonts w:eastAsia="Arial"/>
                <w:color w:val="000000"/>
                <w:lang w:eastAsia="ru-RU"/>
              </w:rPr>
            </w:pPr>
          </w:p>
          <w:p w:rsidR="00ED7F17" w:rsidRDefault="00ED7F17" w:rsidP="006F7358">
            <w:pPr>
              <w:jc w:val="both"/>
              <w:rPr>
                <w:color w:val="000000"/>
              </w:rPr>
            </w:pPr>
            <w:r>
              <w:rPr>
                <w:rFonts w:eastAsia="Arial"/>
                <w:color w:val="000000"/>
                <w:lang w:eastAsia="ru-RU"/>
              </w:rPr>
              <w:t>100% направлений на консультации, диагностические услуги, госпитализацию в медицинские организации, оказывающие медицинскую помощь больным онкологическими заболеваниями, осуществляются с применением централизованной системы «Управление потоками пациентов» ГМС АО.</w:t>
            </w:r>
          </w:p>
          <w:p w:rsidR="00ED7F17" w:rsidRDefault="00ED7F17" w:rsidP="006F7358">
            <w:pPr>
              <w:jc w:val="both"/>
              <w:rPr>
                <w:color w:val="000000"/>
                <w:lang w:eastAsia="ru-RU"/>
              </w:rPr>
            </w:pPr>
          </w:p>
        </w:tc>
      </w:tr>
      <w:tr w:rsidR="00274256" w:rsidTr="00274256">
        <w:trPr>
          <w:gridAfter w:val="1"/>
          <w:wAfter w:w="57" w:type="dxa"/>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11.8.</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rFonts w:eastAsia="Arial"/>
                <w:color w:val="000000"/>
                <w:lang w:eastAsia="ru-RU"/>
              </w:rPr>
              <w:t>Создание системы анализа качества оказания медицинской помощи по профилю «кардиология» и «неврология»</w:t>
            </w:r>
          </w:p>
        </w:tc>
        <w:tc>
          <w:tcPr>
            <w:tcW w:w="127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rFonts w:eastAsia="Arial"/>
                <w:color w:val="000000"/>
                <w:lang w:eastAsia="ru-RU"/>
              </w:rPr>
              <w:t>01.01.2021</w:t>
            </w:r>
          </w:p>
        </w:tc>
        <w:tc>
          <w:tcPr>
            <w:tcW w:w="1685"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rFonts w:eastAsia="Arial"/>
                <w:color w:val="000000"/>
                <w:lang w:eastAsia="ru-RU"/>
              </w:rPr>
              <w:t>31.12.2024</w:t>
            </w:r>
          </w:p>
        </w:tc>
        <w:tc>
          <w:tcPr>
            <w:tcW w:w="2988"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rFonts w:eastAsia="Arial"/>
                <w:color w:val="000000"/>
                <w:lang w:eastAsia="ru-RU"/>
              </w:rPr>
              <w:t>МЗ АО, главные врачи МО АО</w:t>
            </w:r>
          </w:p>
          <w:p w:rsidR="00ED7F17" w:rsidRDefault="00ED7F17" w:rsidP="006F7358">
            <w:pPr>
              <w:jc w:val="both"/>
              <w:rPr>
                <w:rFonts w:eastAsia="Arial"/>
                <w:color w:val="000000"/>
                <w:lang w:eastAsia="ru-RU"/>
              </w:rPr>
            </w:pPr>
          </w:p>
        </w:tc>
        <w:tc>
          <w:tcPr>
            <w:tcW w:w="4128"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rFonts w:eastAsia="Arial"/>
                <w:color w:val="000000"/>
                <w:lang w:eastAsia="ru-RU"/>
              </w:rPr>
              <w:t>Врачи-кардиологи, врачи-неврологи обеспечены оперативной высококачественной информацией для правильной постановки диагноза и определения тактики лечения, повышения точности, оперативности и информативности данных о лечебно-диагностическом процессе, освобождение сотрудников от бумажной работы.</w:t>
            </w:r>
          </w:p>
          <w:p w:rsidR="00ED7F17" w:rsidRDefault="00ED7F17" w:rsidP="006F7358">
            <w:pPr>
              <w:jc w:val="both"/>
              <w:rPr>
                <w:color w:val="000000"/>
              </w:rPr>
            </w:pPr>
            <w:r>
              <w:rPr>
                <w:rFonts w:eastAsia="Arial"/>
                <w:color w:val="000000"/>
                <w:lang w:eastAsia="ru-RU"/>
              </w:rPr>
              <w:t>Создана возможность хранения и предоставления доступа к электронным медицинским данным в любой момент времени, осуществления контроля качества диагностики и лечения на всех этапах лечебно-диагностического процесса.</w:t>
            </w:r>
          </w:p>
          <w:p w:rsidR="00ED7F17" w:rsidRDefault="00ED7F17" w:rsidP="006F7358">
            <w:pPr>
              <w:jc w:val="both"/>
              <w:rPr>
                <w:color w:val="000000"/>
              </w:rPr>
            </w:pPr>
            <w:r>
              <w:rPr>
                <w:rFonts w:eastAsia="Arial"/>
                <w:color w:val="000000"/>
                <w:lang w:eastAsia="ru-RU"/>
              </w:rPr>
              <w:t>Обеспечен контроль расчетов со страховыми компаниями за услуги, оказанные по системе обязательного медицинского страхования (ОМС) для исключения необоснованных неоплат.</w:t>
            </w:r>
          </w:p>
          <w:p w:rsidR="00ED7F17" w:rsidRDefault="00ED7F17" w:rsidP="006F7358">
            <w:pPr>
              <w:jc w:val="both"/>
              <w:rPr>
                <w:color w:val="000000"/>
              </w:rPr>
            </w:pPr>
            <w:r>
              <w:rPr>
                <w:rFonts w:eastAsia="Arial"/>
                <w:color w:val="000000"/>
                <w:lang w:eastAsia="ru-RU"/>
              </w:rPr>
              <w:t>Обеспечена полнота и прозрачность данных о лечебно-диагностическом процессе для анализа.</w:t>
            </w:r>
          </w:p>
          <w:p w:rsidR="00ED7F17" w:rsidRDefault="00ED7F17" w:rsidP="006F7358">
            <w:pPr>
              <w:jc w:val="both"/>
              <w:rPr>
                <w:color w:val="000000"/>
              </w:rPr>
            </w:pPr>
            <w:r>
              <w:rPr>
                <w:rFonts w:eastAsia="Arial"/>
                <w:color w:val="000000"/>
                <w:lang w:eastAsia="ru-RU"/>
              </w:rPr>
              <w:t>Повышена оперативность и точность данных о поступлении и расходовании медикаментов и изделий медицинского назначения для пациента, автоматизирована заявочная кампания. Используются расширенные возможности для экономического анализа.</w:t>
            </w:r>
          </w:p>
          <w:p w:rsidR="00ED7F17" w:rsidRDefault="00ED7F17" w:rsidP="006F7358">
            <w:pPr>
              <w:jc w:val="both"/>
              <w:rPr>
                <w:color w:val="000000"/>
              </w:rPr>
            </w:pPr>
            <w:r>
              <w:rPr>
                <w:rFonts w:eastAsia="Arial"/>
                <w:color w:val="000000"/>
                <w:lang w:eastAsia="ru-RU"/>
              </w:rPr>
              <w:t>ГМИС АО обеспечивает автоматический анализ применения стандартов, порядков и клинических рекомендаций при лечении пациентов, осуществляет функции поддержки принятия врачебных решений.</w:t>
            </w:r>
          </w:p>
          <w:p w:rsidR="00ED7F17" w:rsidRDefault="00ED7F17" w:rsidP="006F7358">
            <w:pPr>
              <w:jc w:val="both"/>
              <w:rPr>
                <w:color w:val="000000"/>
                <w:lang w:eastAsia="ru-RU"/>
              </w:rPr>
            </w:pPr>
            <w:r>
              <w:rPr>
                <w:rFonts w:eastAsia="Arial"/>
                <w:color w:val="000000"/>
                <w:lang w:eastAsia="ru-RU"/>
              </w:rPr>
              <w:t>В ГМИС АО реализована функциональная возможность осуществления автоматизированного клинико-экспертного контроля электронных медицинских карт пациентов в соответствии с утвержденными критериями</w:t>
            </w:r>
          </w:p>
        </w:tc>
      </w:tr>
      <w:tr w:rsidR="00274256" w:rsidTr="00274256">
        <w:trPr>
          <w:gridAfter w:val="1"/>
          <w:wAfter w:w="57" w:type="dxa"/>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11.9</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rFonts w:eastAsia="Arial"/>
                <w:color w:val="000000"/>
                <w:lang w:eastAsia="ru-RU"/>
              </w:rPr>
              <w:t xml:space="preserve">Обеспечение медицинским организациям широкополосного доступа в сеть «Интернет», создания возможностей безопасной передачи данных, обеспечение рабочих мест </w:t>
            </w:r>
            <w:r>
              <w:rPr>
                <w:color w:val="000000"/>
              </w:rPr>
              <w:t>профильных специалистов</w:t>
            </w:r>
            <w:r>
              <w:rPr>
                <w:rFonts w:eastAsia="Arial"/>
                <w:color w:val="000000"/>
                <w:lang w:eastAsia="ru-RU"/>
              </w:rPr>
              <w:t xml:space="preserve"> компьютерной техникой.</w:t>
            </w:r>
          </w:p>
        </w:tc>
        <w:tc>
          <w:tcPr>
            <w:tcW w:w="127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rFonts w:eastAsia="Arial"/>
                <w:color w:val="000000"/>
                <w:lang w:eastAsia="ru-RU"/>
              </w:rPr>
              <w:t>01.01.2019</w:t>
            </w:r>
          </w:p>
        </w:tc>
        <w:tc>
          <w:tcPr>
            <w:tcW w:w="1685"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rFonts w:eastAsia="Arial"/>
                <w:color w:val="000000"/>
                <w:lang w:eastAsia="ru-RU"/>
              </w:rPr>
              <w:t>31.12.2021</w:t>
            </w:r>
          </w:p>
        </w:tc>
        <w:tc>
          <w:tcPr>
            <w:tcW w:w="2988"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rFonts w:eastAsia="Arial"/>
                <w:color w:val="000000"/>
                <w:lang w:eastAsia="ru-RU"/>
              </w:rPr>
              <w:t>МЗ АО, главные врачи МО АО,</w:t>
            </w:r>
          </w:p>
          <w:p w:rsidR="00ED7F17" w:rsidRDefault="00ED7F17" w:rsidP="006F7358">
            <w:pPr>
              <w:jc w:val="both"/>
              <w:rPr>
                <w:color w:val="000000"/>
              </w:rPr>
            </w:pPr>
            <w:r>
              <w:rPr>
                <w:rFonts w:eastAsia="Arial"/>
                <w:color w:val="000000"/>
                <w:lang w:eastAsia="ru-RU"/>
              </w:rPr>
              <w:t>ГБУЗ АО «МИАЦ»</w:t>
            </w:r>
          </w:p>
          <w:p w:rsidR="00ED7F17" w:rsidRDefault="00ED7F17" w:rsidP="006F7358">
            <w:pPr>
              <w:jc w:val="both"/>
              <w:rPr>
                <w:rFonts w:eastAsia="Arial"/>
                <w:color w:val="000000"/>
                <w:lang w:eastAsia="ru-RU"/>
              </w:rPr>
            </w:pPr>
          </w:p>
        </w:tc>
        <w:tc>
          <w:tcPr>
            <w:tcW w:w="4128"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tabs>
                <w:tab w:val="left" w:pos="453"/>
                <w:tab w:val="left" w:pos="993"/>
              </w:tabs>
              <w:jc w:val="both"/>
              <w:rPr>
                <w:color w:val="000000"/>
              </w:rPr>
            </w:pPr>
            <w:r>
              <w:rPr>
                <w:rFonts w:eastAsia="Arial"/>
                <w:color w:val="000000"/>
                <w:lang w:eastAsia="ru-RU"/>
              </w:rPr>
              <w:t xml:space="preserve">Сформировано единое информационное пространство службы, обеспечена возможность применения телемедицинских технологий для повышения доступности медицинской помощи. </w:t>
            </w:r>
          </w:p>
        </w:tc>
      </w:tr>
      <w:tr w:rsidR="00274256" w:rsidTr="00274256">
        <w:trPr>
          <w:gridAfter w:val="1"/>
          <w:wAfter w:w="57" w:type="dxa"/>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11.10.</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rFonts w:eastAsia="Arial"/>
                <w:color w:val="000000"/>
                <w:lang w:eastAsia="ru-RU"/>
              </w:rPr>
              <w:t>Использования локального и регионального архивов медицинских изображений (PACS-архив), как основы для телемедицинских консультаций</w:t>
            </w:r>
          </w:p>
        </w:tc>
        <w:tc>
          <w:tcPr>
            <w:tcW w:w="127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rFonts w:eastAsia="Arial"/>
                <w:color w:val="000000"/>
                <w:lang w:eastAsia="ru-RU"/>
              </w:rPr>
              <w:t>01.11.2019</w:t>
            </w:r>
          </w:p>
        </w:tc>
        <w:tc>
          <w:tcPr>
            <w:tcW w:w="1685"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rFonts w:eastAsia="Arial"/>
                <w:color w:val="000000"/>
                <w:lang w:eastAsia="ru-RU"/>
              </w:rPr>
              <w:t>31.12.2024</w:t>
            </w:r>
          </w:p>
        </w:tc>
        <w:tc>
          <w:tcPr>
            <w:tcW w:w="2988"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rFonts w:eastAsia="Arial"/>
                <w:color w:val="000000"/>
                <w:lang w:eastAsia="ru-RU"/>
              </w:rPr>
              <w:t>МЗ АО, главные врачи МО АО,</w:t>
            </w:r>
          </w:p>
          <w:p w:rsidR="00ED7F17" w:rsidRDefault="00ED7F17" w:rsidP="006F7358">
            <w:pPr>
              <w:jc w:val="both"/>
              <w:rPr>
                <w:color w:val="000000"/>
              </w:rPr>
            </w:pPr>
            <w:r>
              <w:rPr>
                <w:rFonts w:eastAsia="Arial"/>
                <w:color w:val="000000"/>
                <w:lang w:eastAsia="ru-RU"/>
              </w:rPr>
              <w:t>ГБУЗ АО «МИАЦ»</w:t>
            </w:r>
          </w:p>
          <w:p w:rsidR="00ED7F17" w:rsidRDefault="00ED7F17" w:rsidP="006F7358">
            <w:pPr>
              <w:jc w:val="both"/>
              <w:rPr>
                <w:rFonts w:eastAsia="Arial"/>
                <w:color w:val="000000"/>
                <w:lang w:eastAsia="ru-RU"/>
              </w:rPr>
            </w:pPr>
          </w:p>
        </w:tc>
        <w:tc>
          <w:tcPr>
            <w:tcW w:w="4128"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tabs>
                <w:tab w:val="left" w:pos="453"/>
                <w:tab w:val="left" w:pos="993"/>
              </w:tabs>
              <w:jc w:val="both"/>
              <w:rPr>
                <w:color w:val="000000"/>
              </w:rPr>
            </w:pPr>
            <w:r>
              <w:rPr>
                <w:rFonts w:eastAsia="Arial"/>
                <w:color w:val="000000"/>
                <w:lang w:eastAsia="ru-RU"/>
              </w:rPr>
              <w:t>Разработаны необходимые нормативные документы, регламентирующие порядок формирования, обработки, хранения и использования медицинских изображений и результаты медицинских диагностических исследований с использованием центрального архива медицинских изображений ГМИС АО.</w:t>
            </w:r>
          </w:p>
          <w:p w:rsidR="00ED7F17" w:rsidRDefault="00ED7F17" w:rsidP="006F7358">
            <w:pPr>
              <w:tabs>
                <w:tab w:val="left" w:pos="453"/>
                <w:tab w:val="left" w:pos="993"/>
              </w:tabs>
              <w:jc w:val="both"/>
              <w:rPr>
                <w:color w:val="000000"/>
              </w:rPr>
            </w:pPr>
            <w:r>
              <w:rPr>
                <w:rFonts w:eastAsia="Arial"/>
                <w:color w:val="000000"/>
                <w:lang w:eastAsia="ru-RU"/>
              </w:rPr>
              <w:t>Созданы технические условия для функционирования центрального архива медицинских изображений ГМИС АО</w:t>
            </w:r>
          </w:p>
          <w:p w:rsidR="00ED7F17" w:rsidRDefault="00ED7F17" w:rsidP="006F7358">
            <w:pPr>
              <w:tabs>
                <w:tab w:val="left" w:pos="453"/>
                <w:tab w:val="left" w:pos="993"/>
              </w:tabs>
              <w:jc w:val="both"/>
              <w:rPr>
                <w:color w:val="000000"/>
              </w:rPr>
            </w:pPr>
            <w:bookmarkStart w:id="7" w:name="_GoBack6"/>
            <w:bookmarkEnd w:id="7"/>
            <w:r>
              <w:rPr>
                <w:rFonts w:eastAsia="Arial"/>
                <w:color w:val="000000"/>
                <w:lang w:eastAsia="ru-RU"/>
              </w:rPr>
              <w:t>Осуществлены мероприятия по подключению имеющегося цифрового медицинского диагностического оборудования к центральному архиву медицинских изображений ГМИС АО.</w:t>
            </w:r>
          </w:p>
        </w:tc>
      </w:tr>
      <w:tr w:rsidR="00274256" w:rsidTr="00274256">
        <w:trPr>
          <w:gridAfter w:val="1"/>
          <w:wAfter w:w="57" w:type="dxa"/>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color w:val="000000"/>
              </w:rPr>
              <w:t>11.11.</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rFonts w:eastAsia="Arial"/>
                <w:color w:val="000000"/>
                <w:lang w:eastAsia="ru-RU"/>
              </w:rPr>
            </w:pPr>
            <w:r>
              <w:rPr>
                <w:rFonts w:eastAsia="Arial"/>
                <w:color w:val="000000"/>
                <w:lang w:eastAsia="ru-RU"/>
              </w:rPr>
              <w:t>Создание системы для</w:t>
            </w:r>
          </w:p>
          <w:p w:rsidR="00ED7F17" w:rsidRDefault="00ED7F17" w:rsidP="006F7358">
            <w:pPr>
              <w:jc w:val="both"/>
            </w:pPr>
            <w:r>
              <w:rPr>
                <w:rFonts w:eastAsia="Arial"/>
                <w:color w:val="000000"/>
                <w:lang w:eastAsia="ru-RU"/>
              </w:rPr>
              <w:t>Проведение эпидемиологического мониторинга заболеваемости, смертности, распространенности и инвалидизации от ССЗ, планирование объемов оказания медицинской помощи на основании действующего регионального регистра пациентов с ССЗ (ОКС, ОНМК, ХСН).</w:t>
            </w:r>
          </w:p>
        </w:tc>
        <w:tc>
          <w:tcPr>
            <w:tcW w:w="127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rFonts w:eastAsia="Arial"/>
                <w:color w:val="000000"/>
                <w:lang w:eastAsia="ru-RU"/>
              </w:rPr>
              <w:t>01.01.2019</w:t>
            </w:r>
          </w:p>
        </w:tc>
        <w:tc>
          <w:tcPr>
            <w:tcW w:w="1685"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rFonts w:eastAsia="Arial"/>
                <w:color w:val="000000"/>
                <w:lang w:eastAsia="ru-RU"/>
              </w:rPr>
              <w:t>31.12.2024</w:t>
            </w:r>
          </w:p>
        </w:tc>
        <w:tc>
          <w:tcPr>
            <w:tcW w:w="2988"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rFonts w:eastAsia="Arial"/>
                <w:color w:val="000000"/>
                <w:lang w:eastAsia="ru-RU"/>
              </w:rPr>
              <w:t>МЗ АО, главные врачи МО АО,</w:t>
            </w:r>
          </w:p>
          <w:p w:rsidR="00ED7F17" w:rsidRDefault="00ED7F17" w:rsidP="006F7358">
            <w:pPr>
              <w:jc w:val="both"/>
              <w:rPr>
                <w:color w:val="000000"/>
              </w:rPr>
            </w:pPr>
            <w:r>
              <w:rPr>
                <w:rFonts w:eastAsia="Arial"/>
                <w:color w:val="000000"/>
                <w:lang w:eastAsia="ru-RU"/>
              </w:rPr>
              <w:t>ГБУЗ АО АМОКБ, ГБУЗ АО «ОКД»,</w:t>
            </w:r>
          </w:p>
          <w:p w:rsidR="00ED7F17" w:rsidRDefault="00ED7F17" w:rsidP="006F7358">
            <w:pPr>
              <w:jc w:val="both"/>
              <w:rPr>
                <w:color w:val="000000"/>
              </w:rPr>
            </w:pPr>
          </w:p>
          <w:p w:rsidR="00ED7F17" w:rsidRDefault="00ED7F17" w:rsidP="006F7358">
            <w:pPr>
              <w:jc w:val="both"/>
              <w:rPr>
                <w:rFonts w:eastAsia="Arial"/>
                <w:color w:val="000000"/>
                <w:lang w:eastAsia="ru-RU"/>
              </w:rPr>
            </w:pPr>
          </w:p>
        </w:tc>
        <w:tc>
          <w:tcPr>
            <w:tcW w:w="4128"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tabs>
                <w:tab w:val="left" w:pos="453"/>
                <w:tab w:val="left" w:pos="993"/>
              </w:tabs>
              <w:jc w:val="both"/>
            </w:pPr>
            <w:r>
              <w:rPr>
                <w:rFonts w:eastAsia="Arial"/>
                <w:color w:val="000000"/>
                <w:lang w:eastAsia="ru-RU"/>
              </w:rPr>
              <w:t xml:space="preserve">В 100% заинтересованных государственных МО АО обеспечена техническая возможность работы с централизованной системы (подсистемы) «Организация оказания медицинской помощи больным с сердечно-сосудистыми заболеваниями» ГМИС АО, в том числе автоматизированы рабочие места, организовано защищенное подключение к ГМИС АО. </w:t>
            </w:r>
          </w:p>
          <w:p w:rsidR="00ED7F17" w:rsidRDefault="00ED7F17" w:rsidP="006F7358">
            <w:pPr>
              <w:tabs>
                <w:tab w:val="left" w:pos="453"/>
                <w:tab w:val="left" w:pos="993"/>
              </w:tabs>
              <w:jc w:val="both"/>
              <w:rPr>
                <w:color w:val="000000"/>
              </w:rPr>
            </w:pPr>
            <w:r>
              <w:rPr>
                <w:rFonts w:eastAsia="Arial"/>
                <w:color w:val="000000"/>
                <w:lang w:eastAsia="ru-RU"/>
              </w:rPr>
              <w:t>Сформировано единое информационное пространство кардиологической и неврологической служб.</w:t>
            </w:r>
          </w:p>
          <w:p w:rsidR="00ED7F17" w:rsidRDefault="00ED7F17" w:rsidP="006F7358">
            <w:pPr>
              <w:tabs>
                <w:tab w:val="left" w:pos="453"/>
                <w:tab w:val="left" w:pos="993"/>
              </w:tabs>
              <w:jc w:val="both"/>
              <w:rPr>
                <w:color w:val="000000"/>
              </w:rPr>
            </w:pPr>
            <w:r>
              <w:rPr>
                <w:rFonts w:eastAsia="Arial"/>
                <w:color w:val="000000"/>
                <w:lang w:eastAsia="ru-RU"/>
              </w:rPr>
              <w:t>Оперативно формируется регламентная и аналитическая отчетная документация.</w:t>
            </w:r>
          </w:p>
        </w:tc>
      </w:tr>
      <w:tr w:rsidR="00274256" w:rsidTr="00274256">
        <w:trPr>
          <w:gridAfter w:val="1"/>
          <w:wAfter w:w="57" w:type="dxa"/>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rFonts w:eastAsia="Arial"/>
                <w:color w:val="000000"/>
              </w:rPr>
              <w:t>1</w:t>
            </w:r>
            <w:r>
              <w:rPr>
                <w:color w:val="000000"/>
              </w:rPr>
              <w:t>1.12.</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rFonts w:eastAsia="Arial"/>
                <w:color w:val="000000"/>
              </w:rPr>
              <w:t>Разработка и реализация плана мероприятий по внедрению информационных технологий в деятельность учреждений оказывающих медицинскую помощь пациентам с сердечно-сосудистыми заболеваниями, при исполнении требований по унификации ведения электронной медицинской документации и справочников</w:t>
            </w:r>
          </w:p>
        </w:tc>
        <w:tc>
          <w:tcPr>
            <w:tcW w:w="127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rFonts w:eastAsia="Arial"/>
                <w:color w:val="000000"/>
              </w:rPr>
              <w:t> 01.09.2019</w:t>
            </w:r>
          </w:p>
        </w:tc>
        <w:tc>
          <w:tcPr>
            <w:tcW w:w="1685"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rFonts w:eastAsia="Arial"/>
                <w:color w:val="000000"/>
              </w:rPr>
              <w:t>31.12.2024</w:t>
            </w:r>
          </w:p>
        </w:tc>
        <w:tc>
          <w:tcPr>
            <w:tcW w:w="2988"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rFonts w:eastAsia="Arial"/>
                <w:color w:val="000000"/>
                <w:lang w:eastAsia="ru-RU"/>
              </w:rPr>
              <w:t>МЗ АО, главные врачи МО АО</w:t>
            </w:r>
          </w:p>
        </w:tc>
        <w:tc>
          <w:tcPr>
            <w:tcW w:w="4128"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rPr>
                <w:color w:val="000000"/>
              </w:rPr>
            </w:pPr>
            <w:r>
              <w:rPr>
                <w:rFonts w:eastAsia="Arial"/>
                <w:color w:val="000000"/>
              </w:rPr>
              <w:t>Обеспечение оперативного получения и анализа данных по маршрутизации пациентов. Мониторинг, планирование и управление потоками пациентов при оказании медицинской помощи населению. Формирование механизма мультидисциплинарного контроля для анализа предоставляемых данных медицинскими организациями. Использование локального и регионального архивов медицинских изображений (PACS-архив) как основы для телемедицинских консультаций. Проведение эпидемиологического мониторинга заболеваемости, смертности, и инвалидизации от сердечно-сосудистых заболеваний, планирование объемов оказания медицинской помощи. Внедрение механизмов обратной связи и информирование об их наличии пациентов посредством сайта учреждения, инфоматов. Создание региональной интегрированной электронной медицинской карты с возможностью интеграции различных медицинских информационных систем в единое информационное пространство.</w:t>
            </w:r>
          </w:p>
        </w:tc>
      </w:tr>
      <w:tr w:rsidR="00ED7F17" w:rsidTr="00274256">
        <w:trPr>
          <w:gridAfter w:val="1"/>
          <w:wAfter w:w="57" w:type="dxa"/>
          <w:trHeight w:val="619"/>
          <w:jc w:val="right"/>
        </w:trPr>
        <w:tc>
          <w:tcPr>
            <w:tcW w:w="15436" w:type="dxa"/>
            <w:gridSpan w:val="18"/>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rPr>
                <w:b/>
                <w:bCs/>
              </w:rPr>
              <w:t>12. Мероприятия, направленные на оказание паллиативной медицинской помощи при тяжелых необратимых последствиях болезней системы кровообращения</w:t>
            </w:r>
          </w:p>
        </w:tc>
      </w:tr>
      <w:tr w:rsidR="00274256" w:rsidTr="00274256">
        <w:trPr>
          <w:gridAfter w:val="1"/>
          <w:wAfter w:w="57" w:type="dxa"/>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12.1.</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Организация оказания паллиативной помощи в амбулаторных условиях - кабинетах ПМП, в том числе на дому и выездными патронажными бригадами пациентам с необратимыми последствиями болезней системы кровообращения (при участии участкового врача терапевта, врача ОВП, профильных специалистов)</w:t>
            </w:r>
          </w:p>
        </w:tc>
        <w:tc>
          <w:tcPr>
            <w:tcW w:w="127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01.07.2019</w:t>
            </w:r>
          </w:p>
        </w:tc>
        <w:tc>
          <w:tcPr>
            <w:tcW w:w="1685"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31.12.2024</w:t>
            </w:r>
          </w:p>
        </w:tc>
        <w:tc>
          <w:tcPr>
            <w:tcW w:w="2988"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bookmarkStart w:id="8" w:name="__DdeLink__69067_83965571"/>
            <w:r>
              <w:t>Главный внештатный специалист по паллиативной медицине МЗ АО</w:t>
            </w:r>
            <w:bookmarkEnd w:id="8"/>
            <w:r>
              <w:t>, главные врачи МО АО</w:t>
            </w:r>
          </w:p>
        </w:tc>
        <w:tc>
          <w:tcPr>
            <w:tcW w:w="4128"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Организована паллиативная медицинская помощь в амбулаторных условиях</w:t>
            </w:r>
          </w:p>
        </w:tc>
      </w:tr>
      <w:tr w:rsidR="00274256" w:rsidTr="00274256">
        <w:trPr>
          <w:gridAfter w:val="1"/>
          <w:wAfter w:w="57" w:type="dxa"/>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12.1.1.</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Выявление пациентов с необратимыми последствиями БСК (участковый врач - терапевт, врач ОВП, кардиолог, невролог)</w:t>
            </w:r>
          </w:p>
        </w:tc>
        <w:tc>
          <w:tcPr>
            <w:tcW w:w="127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01.07.2019</w:t>
            </w:r>
          </w:p>
        </w:tc>
        <w:tc>
          <w:tcPr>
            <w:tcW w:w="1685"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31.12.2024</w:t>
            </w:r>
          </w:p>
        </w:tc>
        <w:tc>
          <w:tcPr>
            <w:tcW w:w="2988"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Главные врачи МО АО</w:t>
            </w:r>
          </w:p>
        </w:tc>
        <w:tc>
          <w:tcPr>
            <w:tcW w:w="4128"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 xml:space="preserve">Организована паллиативная медицинская помощь в амбулаторных условиях, охват не менее 95% от подлежащих </w:t>
            </w:r>
          </w:p>
        </w:tc>
      </w:tr>
      <w:tr w:rsidR="00274256" w:rsidTr="00274256">
        <w:trPr>
          <w:gridAfter w:val="1"/>
          <w:wAfter w:w="57" w:type="dxa"/>
          <w:trHeight w:val="1973"/>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12.1.2.</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Организация диспансерного наблюдения пациентов, в том числе на дому и выездными патронажными бригадами (при участии участкового врача терапевта, врача ОВП, профильных специалистов) ,</w:t>
            </w:r>
          </w:p>
        </w:tc>
        <w:tc>
          <w:tcPr>
            <w:tcW w:w="127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01.09.2019</w:t>
            </w:r>
          </w:p>
        </w:tc>
        <w:tc>
          <w:tcPr>
            <w:tcW w:w="1685"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31.12.2024</w:t>
            </w:r>
          </w:p>
        </w:tc>
        <w:tc>
          <w:tcPr>
            <w:tcW w:w="2988"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Главные врачи МО АО</w:t>
            </w:r>
          </w:p>
        </w:tc>
        <w:tc>
          <w:tcPr>
            <w:tcW w:w="4128"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Организована паллиативная медицинская помощь в амбулаторных условиях</w:t>
            </w:r>
          </w:p>
        </w:tc>
      </w:tr>
      <w:tr w:rsidR="00274256" w:rsidTr="00274256">
        <w:trPr>
          <w:gridAfter w:val="1"/>
          <w:wAfter w:w="57" w:type="dxa"/>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 xml:space="preserve">12.1.3. </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Внесение данных о пациентах с необратимыми последствиями БСК в регистр паллиативных больных</w:t>
            </w:r>
          </w:p>
        </w:tc>
        <w:tc>
          <w:tcPr>
            <w:tcW w:w="127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01.09.2019</w:t>
            </w:r>
          </w:p>
        </w:tc>
        <w:tc>
          <w:tcPr>
            <w:tcW w:w="1685"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31.12.2024</w:t>
            </w:r>
          </w:p>
        </w:tc>
        <w:tc>
          <w:tcPr>
            <w:tcW w:w="2988"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Главные врачи МО АО, Главный внештатный специалист по паллиативной медицине МЗ АО</w:t>
            </w:r>
          </w:p>
        </w:tc>
        <w:tc>
          <w:tcPr>
            <w:tcW w:w="4128"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Обеспечена приемственность между стационарными учреждениями и медицинскими организациями, оказывающих первичную медико-санитарную помощь</w:t>
            </w:r>
          </w:p>
        </w:tc>
      </w:tr>
      <w:tr w:rsidR="00274256" w:rsidTr="00274256">
        <w:trPr>
          <w:gridAfter w:val="1"/>
          <w:wAfter w:w="57" w:type="dxa"/>
          <w:trHeight w:val="57"/>
          <w:jc w:val="right"/>
        </w:trPr>
        <w:tc>
          <w:tcPr>
            <w:tcW w:w="1119"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12.2.</w:t>
            </w:r>
          </w:p>
        </w:tc>
        <w:tc>
          <w:tcPr>
            <w:tcW w:w="4241" w:type="dxa"/>
            <w:gridSpan w:val="4"/>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 xml:space="preserve">Оказание паллиативной медицинской помощи в стационарных условиях (паллиативное отделение, койки сестринского ухода) пациентам с необратимыми последствиями БСК </w:t>
            </w:r>
          </w:p>
        </w:tc>
        <w:tc>
          <w:tcPr>
            <w:tcW w:w="1275"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01.09.2019</w:t>
            </w:r>
          </w:p>
        </w:tc>
        <w:tc>
          <w:tcPr>
            <w:tcW w:w="1685" w:type="dxa"/>
            <w:gridSpan w:val="5"/>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31.12.2024</w:t>
            </w:r>
          </w:p>
        </w:tc>
        <w:tc>
          <w:tcPr>
            <w:tcW w:w="2988"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Главные врачи МО АО, Главный внештатный специалист по паллиативной медицине МЗ АО</w:t>
            </w:r>
          </w:p>
        </w:tc>
        <w:tc>
          <w:tcPr>
            <w:tcW w:w="4128" w:type="dxa"/>
            <w:gridSpan w:val="2"/>
            <w:tcBorders>
              <w:top w:val="single" w:sz="4" w:space="0" w:color="00000A"/>
              <w:left w:val="single" w:sz="4" w:space="0" w:color="00000A"/>
              <w:bottom w:val="single" w:sz="4" w:space="0" w:color="00000A"/>
              <w:right w:val="single" w:sz="4" w:space="0" w:color="00000A"/>
            </w:tcBorders>
            <w:shd w:val="clear" w:color="auto" w:fill="auto"/>
            <w:tcMar>
              <w:left w:w="88" w:type="dxa"/>
            </w:tcMar>
          </w:tcPr>
          <w:p w:rsidR="00ED7F17" w:rsidRDefault="00ED7F17" w:rsidP="006F7358">
            <w:pPr>
              <w:jc w:val="both"/>
            </w:pPr>
            <w:r>
              <w:t>Оказана паллиативная медицинская помощь пациентам с необратимыми последствиями БСК</w:t>
            </w:r>
          </w:p>
        </w:tc>
      </w:tr>
    </w:tbl>
    <w:p w:rsidR="00ED7F17" w:rsidRDefault="00ED7F17" w:rsidP="00ED7F17"/>
    <w:p w:rsidR="00171335" w:rsidRDefault="00171335"/>
    <w:sectPr w:rsidR="00171335" w:rsidSect="00ED7F17">
      <w:headerReference w:type="default" r:id="rId73"/>
      <w:pgSz w:w="16838" w:h="11906" w:orient="landscape"/>
      <w:pgMar w:top="1701" w:right="1134" w:bottom="850" w:left="1134" w:header="708" w:footer="0" w:gutter="0"/>
      <w:cols w:space="720"/>
      <w:formProt w:val="0"/>
      <w:docGrid w:linePitch="360" w:charSpace="-6145"/>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2793B" w:rsidRDefault="00ED7F17">
      <w:r>
        <w:separator/>
      </w:r>
    </w:p>
  </w:endnote>
  <w:endnote w:type="continuationSeparator" w:id="0">
    <w:p w:rsidR="0042793B" w:rsidRDefault="00ED7F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43" w:usb2="00000009" w:usb3="00000000" w:csb0="000001FF" w:csb1="00000000"/>
  </w:font>
  <w:font w:name="Segoe UI">
    <w:panose1 w:val="020B0502040204020203"/>
    <w:charset w:val="CC"/>
    <w:family w:val="swiss"/>
    <w:pitch w:val="variable"/>
    <w:sig w:usb0="E4002EFF" w:usb1="C000E47F" w:usb2="00000009" w:usb3="00000000" w:csb0="000001FF" w:csb1="00000000"/>
  </w:font>
  <w:font w:name="Microsoft YaHei">
    <w:panose1 w:val="020B0503020204020204"/>
    <w:charset w:val="86"/>
    <w:family w:val="swiss"/>
    <w:pitch w:val="variable"/>
    <w:sig w:usb0="80000287" w:usb1="28CF3C52" w:usb2="00000016" w:usb3="00000000" w:csb0="0004001F" w:csb1="00000000"/>
  </w:font>
  <w:font w:name="Lucida Sans">
    <w:charset w:val="CC"/>
    <w:family w:val="auto"/>
    <w:pitch w:val="variable"/>
  </w:font>
  <w:font w:name="Cambria">
    <w:panose1 w:val="02040503050406030204"/>
    <w:charset w:val="CC"/>
    <w:family w:val="roman"/>
    <w:pitch w:val="variable"/>
    <w:sig w:usb0="E00002FF" w:usb1="400004FF" w:usb2="00000000" w:usb3="00000000" w:csb0="0000019F" w:csb1="00000000"/>
  </w:font>
  <w:font w:name="Mangal">
    <w:panose1 w:val="02040503050203030202"/>
    <w:charset w:val="01"/>
    <w:family w:val="roman"/>
    <w:notTrueType/>
    <w:pitch w:val="variable"/>
    <w:sig w:usb0="00002000" w:usb1="00000000" w:usb2="00000000" w:usb3="00000000" w:csb0="00000000" w:csb1="00000000"/>
  </w:font>
  <w:font w:name="Liberation Sans">
    <w:altName w:val="Arial"/>
    <w:charset w:val="CC"/>
    <w:family w:val="roman"/>
    <w:pitch w:val="variable"/>
  </w:font>
  <w:font w:name="font404">
    <w:altName w:val="Times New Roman"/>
    <w:charset w:val="CC"/>
    <w:family w:val="roman"/>
    <w:pitch w:val="default"/>
  </w:font>
  <w:font w:name="Liberation Serif">
    <w:altName w:val="Times New Roman"/>
    <w:charset w:val="00"/>
    <w:family w:val="roman"/>
    <w:pitch w:val="variable"/>
  </w:font>
  <w:font w:name="Andale Sans UI">
    <w:panose1 w:val="00000000000000000000"/>
    <w:charset w:val="00"/>
    <w:family w:val="roman"/>
    <w:notTrueType/>
    <w:pitch w:val="default"/>
  </w:font>
  <w:font w:name="font200">
    <w:altName w:val="Times New Roman"/>
    <w:charset w:val="CC"/>
    <w:family w:val="auto"/>
    <w:pitch w:val="variable"/>
  </w:font>
  <w:font w:name="OpenSymbol">
    <w:altName w:val="Arial Unicode MS"/>
    <w:charset w:val="02"/>
    <w:family w:val="auto"/>
    <w:pitch w:val="default"/>
  </w:font>
  <w:font w:name="Wingdings 2">
    <w:panose1 w:val="05020102010507070707"/>
    <w:charset w:val="02"/>
    <w:family w:val="roman"/>
    <w:pitch w:val="variable"/>
    <w:sig w:usb0="00000000" w:usb1="10000000" w:usb2="00000000" w:usb3="00000000" w:csb0="80000000"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Lucida Sans Unicode">
    <w:panose1 w:val="020B0602030504020204"/>
    <w:charset w:val="CC"/>
    <w:family w:val="swiss"/>
    <w:pitch w:val="variable"/>
    <w:sig w:usb0="80000AFF" w:usb1="0000396B" w:usb2="00000000" w:usb3="00000000" w:csb0="000000BF" w:csb1="00000000"/>
  </w:font>
  <w:font w:name="ArialMT">
    <w:charset w:val="CC"/>
    <w:family w:val="swiss"/>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2793B" w:rsidRDefault="00ED7F17">
      <w:r>
        <w:separator/>
      </w:r>
    </w:p>
  </w:footnote>
  <w:footnote w:type="continuationSeparator" w:id="0">
    <w:p w:rsidR="0042793B" w:rsidRDefault="00ED7F1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1335" w:rsidRDefault="00ED7F17">
    <w:pPr>
      <w:pStyle w:val="aa"/>
      <w:jc w:val="center"/>
    </w:pPr>
    <w:r>
      <w:fldChar w:fldCharType="begin"/>
    </w:r>
    <w:r>
      <w:instrText>PAGE</w:instrText>
    </w:r>
    <w:r>
      <w:fldChar w:fldCharType="separate"/>
    </w:r>
    <w:r w:rsidR="00274256">
      <w:rPr>
        <w:noProof/>
      </w:rPr>
      <w:t>134</w:t>
    </w:r>
    <w:r>
      <w:fldChar w:fldCharType="end"/>
    </w:r>
  </w:p>
  <w:p w:rsidR="0042793B" w:rsidRDefault="0042793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none"/>
      <w:pStyle w:val="1"/>
      <w:suff w:val="nothing"/>
      <w:lvlText w:val=""/>
      <w:lvlJc w:val="left"/>
      <w:pPr>
        <w:tabs>
          <w:tab w:val="num" w:pos="0"/>
        </w:tabs>
        <w:ind w:left="0" w:firstLine="0"/>
      </w:pPr>
    </w:lvl>
    <w:lvl w:ilvl="1">
      <w:start w:val="1"/>
      <w:numFmt w:val="none"/>
      <w:pStyle w:val="2"/>
      <w:suff w:val="nothing"/>
      <w:lvlText w:val=""/>
      <w:lvlJc w:val="left"/>
      <w:pPr>
        <w:tabs>
          <w:tab w:val="num" w:pos="0"/>
        </w:tabs>
        <w:ind w:left="0" w:firstLine="0"/>
      </w:pPr>
    </w:lvl>
    <w:lvl w:ilvl="2">
      <w:start w:val="1"/>
      <w:numFmt w:val="none"/>
      <w:pStyle w:val="3"/>
      <w:suff w:val="nothing"/>
      <w:lvlText w:val=""/>
      <w:lvlJc w:val="left"/>
      <w:pPr>
        <w:tabs>
          <w:tab w:val="num" w:pos="0"/>
        </w:tabs>
        <w:ind w:left="0" w:firstLine="0"/>
      </w:pPr>
    </w:lvl>
    <w:lvl w:ilvl="3">
      <w:start w:val="1"/>
      <w:numFmt w:val="none"/>
      <w:pStyle w:val="4"/>
      <w:suff w:val="nothing"/>
      <w:lvlText w:val=""/>
      <w:lvlJc w:val="left"/>
      <w:pPr>
        <w:tabs>
          <w:tab w:val="num" w:pos="0"/>
        </w:tabs>
        <w:ind w:left="0" w:firstLine="0"/>
      </w:pPr>
    </w:lvl>
    <w:lvl w:ilvl="4">
      <w:start w:val="1"/>
      <w:numFmt w:val="none"/>
      <w:pStyle w:val="5"/>
      <w:suff w:val="nothing"/>
      <w:lvlText w:val=""/>
      <w:lvlJc w:val="left"/>
      <w:pPr>
        <w:tabs>
          <w:tab w:val="num" w:pos="0"/>
        </w:tabs>
        <w:ind w:left="0" w:firstLine="0"/>
      </w:pPr>
    </w:lvl>
    <w:lvl w:ilvl="5">
      <w:start w:val="1"/>
      <w:numFmt w:val="none"/>
      <w:pStyle w:val="6"/>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2"/>
    <w:multiLevelType w:val="multilevel"/>
    <w:tmpl w:val="00000002"/>
    <w:name w:val="WW8Num2"/>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0000003"/>
    <w:multiLevelType w:val="multilevel"/>
    <w:tmpl w:val="00000003"/>
    <w:name w:val="WW8Num3"/>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3" w15:restartNumberingAfterBreak="0">
    <w:nsid w:val="00000004"/>
    <w:multiLevelType w:val="multilevel"/>
    <w:tmpl w:val="00000004"/>
    <w:name w:val="WW8Num4"/>
    <w:lvl w:ilvl="0">
      <w:start w:val="1"/>
      <w:numFmt w:val="bullet"/>
      <w:lvlText w:val=""/>
      <w:lvlJc w:val="left"/>
      <w:pPr>
        <w:tabs>
          <w:tab w:val="num" w:pos="0"/>
        </w:tabs>
        <w:ind w:left="360" w:hanging="360"/>
      </w:pPr>
      <w:rPr>
        <w:rFonts w:ascii="Symbol" w:hAnsi="Symbol" w:cs="Symbol"/>
        <w:b/>
        <w:sz w:val="24"/>
        <w:szCs w:val="16"/>
      </w:rPr>
    </w:lvl>
    <w:lvl w:ilvl="1">
      <w:start w:val="1"/>
      <w:numFmt w:val="bullet"/>
      <w:lvlText w:val="•"/>
      <w:lvlJc w:val="left"/>
      <w:pPr>
        <w:tabs>
          <w:tab w:val="num" w:pos="0"/>
        </w:tabs>
        <w:ind w:left="1800" w:hanging="1080"/>
      </w:pPr>
      <w:rPr>
        <w:rFonts w:ascii="Times New Roman" w:hAnsi="Times New Roman" w:cs="Times New Roman"/>
      </w:rPr>
    </w:lvl>
    <w:lvl w:ilvl="2">
      <w:start w:val="1"/>
      <w:numFmt w:val="bullet"/>
      <w:lvlText w:val=""/>
      <w:lvlJc w:val="left"/>
      <w:pPr>
        <w:tabs>
          <w:tab w:val="num" w:pos="0"/>
        </w:tabs>
        <w:ind w:left="1800" w:hanging="360"/>
      </w:pPr>
      <w:rPr>
        <w:rFonts w:ascii="Wingdings" w:hAnsi="Wingdings" w:cs="Wingdings"/>
      </w:rPr>
    </w:lvl>
    <w:lvl w:ilvl="3">
      <w:start w:val="1"/>
      <w:numFmt w:val="bullet"/>
      <w:lvlText w:val=""/>
      <w:lvlJc w:val="left"/>
      <w:pPr>
        <w:tabs>
          <w:tab w:val="num" w:pos="0"/>
        </w:tabs>
        <w:ind w:left="2520" w:hanging="360"/>
      </w:pPr>
      <w:rPr>
        <w:rFonts w:ascii="Symbol" w:hAnsi="Symbol" w:cs="Symbol"/>
      </w:rPr>
    </w:lvl>
    <w:lvl w:ilvl="4">
      <w:start w:val="1"/>
      <w:numFmt w:val="bullet"/>
      <w:lvlText w:val="o"/>
      <w:lvlJc w:val="left"/>
      <w:pPr>
        <w:tabs>
          <w:tab w:val="num" w:pos="0"/>
        </w:tabs>
        <w:ind w:left="3240" w:hanging="360"/>
      </w:pPr>
      <w:rPr>
        <w:rFonts w:ascii="Courier New" w:hAnsi="Courier New" w:cs="Courier New"/>
      </w:rPr>
    </w:lvl>
    <w:lvl w:ilvl="5">
      <w:start w:val="1"/>
      <w:numFmt w:val="bullet"/>
      <w:lvlText w:val=""/>
      <w:lvlJc w:val="left"/>
      <w:pPr>
        <w:tabs>
          <w:tab w:val="num" w:pos="0"/>
        </w:tabs>
        <w:ind w:left="3960" w:hanging="360"/>
      </w:pPr>
      <w:rPr>
        <w:rFonts w:ascii="Wingdings" w:hAnsi="Wingdings" w:cs="Wingdings"/>
      </w:rPr>
    </w:lvl>
    <w:lvl w:ilvl="6">
      <w:start w:val="1"/>
      <w:numFmt w:val="bullet"/>
      <w:lvlText w:val=""/>
      <w:lvlJc w:val="left"/>
      <w:pPr>
        <w:tabs>
          <w:tab w:val="num" w:pos="0"/>
        </w:tabs>
        <w:ind w:left="4680" w:hanging="360"/>
      </w:pPr>
      <w:rPr>
        <w:rFonts w:ascii="Symbol" w:hAnsi="Symbol" w:cs="Symbol"/>
      </w:rPr>
    </w:lvl>
    <w:lvl w:ilvl="7">
      <w:start w:val="1"/>
      <w:numFmt w:val="bullet"/>
      <w:lvlText w:val="o"/>
      <w:lvlJc w:val="left"/>
      <w:pPr>
        <w:tabs>
          <w:tab w:val="num" w:pos="0"/>
        </w:tabs>
        <w:ind w:left="5400" w:hanging="360"/>
      </w:pPr>
      <w:rPr>
        <w:rFonts w:ascii="Courier New" w:hAnsi="Courier New" w:cs="Courier New"/>
      </w:rPr>
    </w:lvl>
    <w:lvl w:ilvl="8">
      <w:start w:val="1"/>
      <w:numFmt w:val="bullet"/>
      <w:lvlText w:val=""/>
      <w:lvlJc w:val="left"/>
      <w:pPr>
        <w:tabs>
          <w:tab w:val="num" w:pos="0"/>
        </w:tabs>
        <w:ind w:left="6120" w:hanging="360"/>
      </w:pPr>
      <w:rPr>
        <w:rFonts w:ascii="Wingdings" w:hAnsi="Wingdings" w:cs="Wingdings"/>
      </w:rPr>
    </w:lvl>
  </w:abstractNum>
  <w:abstractNum w:abstractNumId="4" w15:restartNumberingAfterBreak="0">
    <w:nsid w:val="00000005"/>
    <w:multiLevelType w:val="multilevel"/>
    <w:tmpl w:val="00000005"/>
    <w:name w:val="WW8Num5"/>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5" w15:restartNumberingAfterBreak="0">
    <w:nsid w:val="00000006"/>
    <w:multiLevelType w:val="multilevel"/>
    <w:tmpl w:val="00000006"/>
    <w:name w:val="WW8Num6"/>
    <w:lvl w:ilvl="0">
      <w:start w:val="1"/>
      <w:numFmt w:val="decimal"/>
      <w:lvlText w:val="%1."/>
      <w:lvlJc w:val="left"/>
      <w:pPr>
        <w:tabs>
          <w:tab w:val="num" w:pos="0"/>
        </w:tabs>
        <w:ind w:left="1080" w:hanging="360"/>
      </w:pPr>
      <w:rPr>
        <w:rFonts w:ascii="Times New Roman" w:eastAsia="Calibri" w:hAnsi="Times New Roman" w:cs="Times New Roman" w:hint="default"/>
        <w:iCs/>
        <w:sz w:val="24"/>
        <w:szCs w:val="24"/>
      </w:rPr>
    </w:lvl>
    <w:lvl w:ilvl="1">
      <w:start w:val="1"/>
      <w:numFmt w:val="decimal"/>
      <w:lvlText w:val="%1.%2."/>
      <w:lvlJc w:val="left"/>
      <w:pPr>
        <w:tabs>
          <w:tab w:val="num" w:pos="0"/>
        </w:tabs>
        <w:ind w:left="2138" w:hanging="720"/>
      </w:pPr>
      <w:rPr>
        <w:rFonts w:ascii="Times New Roman" w:eastAsia="Calibri" w:hAnsi="Times New Roman" w:cs="Times New Roman" w:hint="default"/>
        <w:iCs/>
        <w:sz w:val="24"/>
        <w:szCs w:val="24"/>
      </w:rPr>
    </w:lvl>
    <w:lvl w:ilvl="2">
      <w:start w:val="1"/>
      <w:numFmt w:val="decimal"/>
      <w:lvlText w:val="%1.%2.%3."/>
      <w:lvlJc w:val="left"/>
      <w:pPr>
        <w:tabs>
          <w:tab w:val="num" w:pos="0"/>
        </w:tabs>
        <w:ind w:left="1440" w:hanging="720"/>
      </w:pPr>
      <w:rPr>
        <w:rFonts w:ascii="Times New Roman" w:eastAsia="Calibri" w:hAnsi="Times New Roman" w:cs="Times New Roman" w:hint="default"/>
        <w:iCs/>
        <w:sz w:val="24"/>
        <w:szCs w:val="24"/>
      </w:rPr>
    </w:lvl>
    <w:lvl w:ilvl="3">
      <w:start w:val="1"/>
      <w:numFmt w:val="decimal"/>
      <w:lvlText w:val="%1.%2.%3.%4."/>
      <w:lvlJc w:val="left"/>
      <w:pPr>
        <w:tabs>
          <w:tab w:val="num" w:pos="0"/>
        </w:tabs>
        <w:ind w:left="1800" w:hanging="1080"/>
      </w:pPr>
      <w:rPr>
        <w:rFonts w:ascii="Times New Roman" w:eastAsia="Calibri" w:hAnsi="Times New Roman" w:cs="Times New Roman" w:hint="default"/>
        <w:iCs/>
        <w:sz w:val="24"/>
        <w:szCs w:val="24"/>
      </w:rPr>
    </w:lvl>
    <w:lvl w:ilvl="4">
      <w:start w:val="1"/>
      <w:numFmt w:val="decimal"/>
      <w:lvlText w:val="%1.%2.%3.%4.%5."/>
      <w:lvlJc w:val="left"/>
      <w:pPr>
        <w:tabs>
          <w:tab w:val="num" w:pos="0"/>
        </w:tabs>
        <w:ind w:left="2160" w:hanging="1440"/>
      </w:pPr>
      <w:rPr>
        <w:rFonts w:ascii="Times New Roman" w:eastAsia="Calibri" w:hAnsi="Times New Roman" w:cs="Times New Roman" w:hint="default"/>
        <w:iCs/>
        <w:sz w:val="24"/>
        <w:szCs w:val="24"/>
      </w:rPr>
    </w:lvl>
    <w:lvl w:ilvl="5">
      <w:start w:val="1"/>
      <w:numFmt w:val="decimal"/>
      <w:lvlText w:val="%1.%2.%3.%4.%5.%6."/>
      <w:lvlJc w:val="left"/>
      <w:pPr>
        <w:tabs>
          <w:tab w:val="num" w:pos="0"/>
        </w:tabs>
        <w:ind w:left="2160" w:hanging="1440"/>
      </w:pPr>
      <w:rPr>
        <w:rFonts w:ascii="Times New Roman" w:eastAsia="Calibri" w:hAnsi="Times New Roman" w:cs="Times New Roman" w:hint="default"/>
        <w:iCs/>
        <w:sz w:val="24"/>
        <w:szCs w:val="24"/>
      </w:rPr>
    </w:lvl>
    <w:lvl w:ilvl="6">
      <w:start w:val="1"/>
      <w:numFmt w:val="decimal"/>
      <w:lvlText w:val="%1.%2.%3.%4.%5.%6.%7."/>
      <w:lvlJc w:val="left"/>
      <w:pPr>
        <w:tabs>
          <w:tab w:val="num" w:pos="0"/>
        </w:tabs>
        <w:ind w:left="2520" w:hanging="1800"/>
      </w:pPr>
      <w:rPr>
        <w:rFonts w:ascii="Times New Roman" w:eastAsia="Calibri" w:hAnsi="Times New Roman" w:cs="Times New Roman" w:hint="default"/>
        <w:iCs/>
        <w:sz w:val="24"/>
        <w:szCs w:val="24"/>
      </w:rPr>
    </w:lvl>
    <w:lvl w:ilvl="7">
      <w:start w:val="1"/>
      <w:numFmt w:val="decimal"/>
      <w:lvlText w:val="%1.%2.%3.%4.%5.%6.%7.%8."/>
      <w:lvlJc w:val="left"/>
      <w:pPr>
        <w:tabs>
          <w:tab w:val="num" w:pos="0"/>
        </w:tabs>
        <w:ind w:left="2880" w:hanging="2160"/>
      </w:pPr>
      <w:rPr>
        <w:rFonts w:ascii="Times New Roman" w:eastAsia="Calibri" w:hAnsi="Times New Roman" w:cs="Times New Roman" w:hint="default"/>
        <w:iCs/>
        <w:sz w:val="24"/>
        <w:szCs w:val="24"/>
      </w:rPr>
    </w:lvl>
    <w:lvl w:ilvl="8">
      <w:start w:val="1"/>
      <w:numFmt w:val="decimal"/>
      <w:lvlText w:val="%1.%2.%3.%4.%5.%6.%7.%8.%9."/>
      <w:lvlJc w:val="left"/>
      <w:pPr>
        <w:tabs>
          <w:tab w:val="num" w:pos="0"/>
        </w:tabs>
        <w:ind w:left="2880" w:hanging="2160"/>
      </w:pPr>
      <w:rPr>
        <w:rFonts w:ascii="Times New Roman" w:eastAsia="Calibri" w:hAnsi="Times New Roman" w:cs="Times New Roman" w:hint="default"/>
        <w:iCs/>
        <w:sz w:val="24"/>
        <w:szCs w:val="24"/>
      </w:rPr>
    </w:lvl>
  </w:abstractNum>
  <w:abstractNum w:abstractNumId="6" w15:restartNumberingAfterBreak="0">
    <w:nsid w:val="00000007"/>
    <w:multiLevelType w:val="singleLevel"/>
    <w:tmpl w:val="00000007"/>
    <w:name w:val="WW8Num7"/>
    <w:lvl w:ilvl="0">
      <w:start w:val="1"/>
      <w:numFmt w:val="bullet"/>
      <w:lvlText w:val=""/>
      <w:lvlJc w:val="left"/>
      <w:pPr>
        <w:tabs>
          <w:tab w:val="num" w:pos="0"/>
        </w:tabs>
        <w:ind w:left="786" w:hanging="360"/>
      </w:pPr>
      <w:rPr>
        <w:rFonts w:ascii="Symbol" w:hAnsi="Symbol" w:cs="Symbol" w:hint="default"/>
        <w:sz w:val="16"/>
        <w:szCs w:val="16"/>
      </w:rPr>
    </w:lvl>
  </w:abstractNum>
  <w:abstractNum w:abstractNumId="7" w15:restartNumberingAfterBreak="0">
    <w:nsid w:val="6EB96C90"/>
    <w:multiLevelType w:val="multilevel"/>
    <w:tmpl w:val="4E00BB30"/>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8" w15:restartNumberingAfterBreak="0">
    <w:nsid w:val="7CE118F4"/>
    <w:multiLevelType w:val="multilevel"/>
    <w:tmpl w:val="1100B0BE"/>
    <w:lvl w:ilvl="0">
      <w:start w:val="1"/>
      <w:numFmt w:val="bullet"/>
      <w:lvlText w:val=""/>
      <w:lvlJc w:val="left"/>
      <w:pPr>
        <w:ind w:left="720" w:hanging="360"/>
      </w:pPr>
      <w:rPr>
        <w:rFonts w:ascii="Symbol" w:hAnsi="Symbol" w:cs="Symbol" w:hint="default"/>
        <w:sz w:val="24"/>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num w:numId="1">
    <w:abstractNumId w:val="0"/>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
  </w:num>
  <w:num w:numId="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5"/>
  </w:num>
  <w:num w:numId="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
  </w:num>
  <w:num w:numId="12">
    <w:abstractNumId w:val="6"/>
  </w:num>
  <w:num w:numId="13">
    <w:abstractNumId w:val="3"/>
  </w:num>
  <w:num w:numId="14">
    <w:abstractNumId w:val="3"/>
  </w:num>
  <w:num w:numId="15">
    <w:abstractNumId w:val="8"/>
  </w:num>
  <w:num w:numId="1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1335"/>
    <w:rsid w:val="00171335"/>
    <w:rsid w:val="00274256"/>
    <w:rsid w:val="0042793B"/>
    <w:rsid w:val="00460D8B"/>
    <w:rsid w:val="0091552F"/>
    <w:rsid w:val="00ED7F17"/>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5:docId w15:val="{67E1581E-890D-4217-A1DC-235663A15D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ahoma"/>
        <w:szCs w:val="22"/>
        <w:lang w:val="ru-RU"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iPriority="0" w:unhideWhenUsed="1" w:qFormat="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uppressAutoHyphens/>
      <w:overflowPunct w:val="0"/>
    </w:pPr>
    <w:rPr>
      <w:rFonts w:ascii="Times New Roman" w:eastAsia="Times New Roman" w:hAnsi="Times New Roman" w:cs="Times New Roman"/>
      <w:color w:val="00000A"/>
      <w:sz w:val="24"/>
      <w:szCs w:val="24"/>
      <w:lang w:eastAsia="zh-CN"/>
    </w:rPr>
  </w:style>
  <w:style w:type="paragraph" w:styleId="1">
    <w:name w:val="heading 1"/>
    <w:basedOn w:val="a"/>
    <w:next w:val="a0"/>
    <w:link w:val="10"/>
    <w:qFormat/>
    <w:rsid w:val="00ED7F17"/>
    <w:pPr>
      <w:keepNext/>
      <w:keepLines/>
      <w:numPr>
        <w:numId w:val="2"/>
      </w:numPr>
      <w:overflowPunct/>
      <w:spacing w:before="400" w:after="120" w:line="276" w:lineRule="auto"/>
      <w:outlineLvl w:val="0"/>
    </w:pPr>
    <w:rPr>
      <w:rFonts w:ascii="Arial" w:eastAsia="Arial" w:hAnsi="Arial" w:cs="Arial"/>
      <w:sz w:val="40"/>
      <w:szCs w:val="40"/>
    </w:rPr>
  </w:style>
  <w:style w:type="paragraph" w:styleId="2">
    <w:name w:val="heading 2"/>
    <w:basedOn w:val="a"/>
    <w:next w:val="a0"/>
    <w:link w:val="20"/>
    <w:semiHidden/>
    <w:unhideWhenUsed/>
    <w:qFormat/>
    <w:rsid w:val="00ED7F17"/>
    <w:pPr>
      <w:keepNext/>
      <w:keepLines/>
      <w:numPr>
        <w:ilvl w:val="1"/>
        <w:numId w:val="2"/>
      </w:numPr>
      <w:overflowPunct/>
      <w:spacing w:before="360" w:after="120" w:line="276" w:lineRule="auto"/>
      <w:outlineLvl w:val="1"/>
    </w:pPr>
    <w:rPr>
      <w:rFonts w:ascii="Arial" w:eastAsia="Arial" w:hAnsi="Arial" w:cs="Arial"/>
      <w:sz w:val="32"/>
      <w:szCs w:val="32"/>
    </w:rPr>
  </w:style>
  <w:style w:type="paragraph" w:styleId="3">
    <w:name w:val="heading 3"/>
    <w:basedOn w:val="a"/>
    <w:next w:val="a0"/>
    <w:link w:val="30"/>
    <w:semiHidden/>
    <w:unhideWhenUsed/>
    <w:qFormat/>
    <w:rsid w:val="00ED7F17"/>
    <w:pPr>
      <w:keepNext/>
      <w:keepLines/>
      <w:numPr>
        <w:ilvl w:val="2"/>
        <w:numId w:val="2"/>
      </w:numPr>
      <w:overflowPunct/>
      <w:spacing w:before="320" w:after="80" w:line="276" w:lineRule="auto"/>
      <w:outlineLvl w:val="2"/>
    </w:pPr>
    <w:rPr>
      <w:rFonts w:ascii="Arial" w:eastAsia="Arial" w:hAnsi="Arial" w:cs="Arial"/>
      <w:color w:val="434343"/>
      <w:sz w:val="28"/>
      <w:szCs w:val="28"/>
    </w:rPr>
  </w:style>
  <w:style w:type="paragraph" w:styleId="4">
    <w:name w:val="heading 4"/>
    <w:basedOn w:val="a"/>
    <w:next w:val="a0"/>
    <w:link w:val="40"/>
    <w:semiHidden/>
    <w:unhideWhenUsed/>
    <w:qFormat/>
    <w:rsid w:val="00ED7F17"/>
    <w:pPr>
      <w:keepNext/>
      <w:keepLines/>
      <w:numPr>
        <w:ilvl w:val="3"/>
        <w:numId w:val="2"/>
      </w:numPr>
      <w:overflowPunct/>
      <w:spacing w:before="280" w:after="80" w:line="276" w:lineRule="auto"/>
      <w:outlineLvl w:val="3"/>
    </w:pPr>
    <w:rPr>
      <w:rFonts w:ascii="Arial" w:eastAsia="Arial" w:hAnsi="Arial" w:cs="Arial"/>
      <w:color w:val="666666"/>
    </w:rPr>
  </w:style>
  <w:style w:type="paragraph" w:styleId="5">
    <w:name w:val="heading 5"/>
    <w:basedOn w:val="a"/>
    <w:next w:val="a0"/>
    <w:link w:val="50"/>
    <w:semiHidden/>
    <w:unhideWhenUsed/>
    <w:qFormat/>
    <w:rsid w:val="00ED7F17"/>
    <w:pPr>
      <w:keepNext/>
      <w:keepLines/>
      <w:numPr>
        <w:ilvl w:val="4"/>
        <w:numId w:val="2"/>
      </w:numPr>
      <w:overflowPunct/>
      <w:spacing w:before="240" w:after="80" w:line="276" w:lineRule="auto"/>
      <w:outlineLvl w:val="4"/>
    </w:pPr>
    <w:rPr>
      <w:rFonts w:ascii="Arial" w:eastAsia="Arial" w:hAnsi="Arial" w:cs="Arial"/>
      <w:color w:val="666666"/>
      <w:sz w:val="22"/>
      <w:szCs w:val="22"/>
    </w:rPr>
  </w:style>
  <w:style w:type="paragraph" w:styleId="6">
    <w:name w:val="heading 6"/>
    <w:basedOn w:val="a"/>
    <w:next w:val="a0"/>
    <w:link w:val="60"/>
    <w:semiHidden/>
    <w:unhideWhenUsed/>
    <w:qFormat/>
    <w:rsid w:val="00ED7F17"/>
    <w:pPr>
      <w:keepNext/>
      <w:keepLines/>
      <w:numPr>
        <w:ilvl w:val="5"/>
        <w:numId w:val="2"/>
      </w:numPr>
      <w:overflowPunct/>
      <w:spacing w:before="240" w:after="80" w:line="276" w:lineRule="auto"/>
      <w:outlineLvl w:val="5"/>
    </w:pPr>
    <w:rPr>
      <w:rFonts w:ascii="Arial" w:eastAsia="Arial" w:hAnsi="Arial" w:cs="Arial"/>
      <w:i/>
      <w:color w:val="666666"/>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a4">
    <w:name w:val="Верхний колонтитул Знак"/>
    <w:basedOn w:val="a1"/>
    <w:uiPriority w:val="99"/>
    <w:qFormat/>
    <w:rPr>
      <w:rFonts w:ascii="Times New Roman" w:eastAsia="Times New Roman" w:hAnsi="Times New Roman" w:cs="Times New Roman"/>
      <w:sz w:val="21"/>
      <w:szCs w:val="20"/>
      <w:lang w:eastAsia="zh-CN"/>
    </w:rPr>
  </w:style>
  <w:style w:type="character" w:customStyle="1" w:styleId="a5">
    <w:name w:val="Текст выноски Знак"/>
    <w:basedOn w:val="a1"/>
    <w:uiPriority w:val="99"/>
    <w:qFormat/>
    <w:rPr>
      <w:rFonts w:ascii="Segoe UI" w:eastAsia="Times New Roman" w:hAnsi="Segoe UI" w:cs="Segoe UI"/>
      <w:sz w:val="18"/>
      <w:szCs w:val="18"/>
      <w:lang w:eastAsia="zh-CN"/>
    </w:rPr>
  </w:style>
  <w:style w:type="character" w:customStyle="1" w:styleId="ListLabel1">
    <w:name w:val="ListLabel 1"/>
    <w:qFormat/>
    <w:rPr>
      <w:sz w:val="28"/>
      <w:szCs w:val="28"/>
    </w:rPr>
  </w:style>
  <w:style w:type="character" w:customStyle="1" w:styleId="-">
    <w:name w:val="Интернет-ссылка"/>
    <w:rPr>
      <w:color w:val="000080"/>
      <w:u w:val="single"/>
    </w:rPr>
  </w:style>
  <w:style w:type="character" w:customStyle="1" w:styleId="ListLabel2">
    <w:name w:val="ListLabel 2"/>
    <w:qFormat/>
    <w:rPr>
      <w:sz w:val="28"/>
      <w:szCs w:val="28"/>
    </w:rPr>
  </w:style>
  <w:style w:type="paragraph" w:customStyle="1" w:styleId="a6">
    <w:name w:val="Заголовок"/>
    <w:basedOn w:val="a"/>
    <w:next w:val="a0"/>
    <w:qFormat/>
    <w:pPr>
      <w:keepNext/>
      <w:spacing w:before="240" w:after="120"/>
    </w:pPr>
    <w:rPr>
      <w:rFonts w:eastAsia="Microsoft YaHei" w:cs="Lucida Sans"/>
      <w:sz w:val="28"/>
      <w:szCs w:val="28"/>
    </w:rPr>
  </w:style>
  <w:style w:type="paragraph" w:styleId="a0">
    <w:name w:val="Body Text"/>
    <w:basedOn w:val="a"/>
    <w:link w:val="21"/>
    <w:pPr>
      <w:spacing w:after="140" w:line="276" w:lineRule="auto"/>
    </w:pPr>
  </w:style>
  <w:style w:type="paragraph" w:styleId="a7">
    <w:name w:val="List"/>
    <w:basedOn w:val="a0"/>
    <w:rPr>
      <w:rFonts w:cs="Lucida Sans"/>
    </w:rPr>
  </w:style>
  <w:style w:type="paragraph" w:styleId="a8">
    <w:name w:val="caption"/>
    <w:basedOn w:val="a"/>
    <w:qFormat/>
    <w:pPr>
      <w:suppressLineNumbers/>
      <w:spacing w:before="120" w:after="120"/>
    </w:pPr>
    <w:rPr>
      <w:rFonts w:cs="Lucida Sans"/>
      <w:i/>
      <w:iCs/>
    </w:rPr>
  </w:style>
  <w:style w:type="paragraph" w:styleId="a9">
    <w:name w:val="index heading"/>
    <w:basedOn w:val="a"/>
    <w:qFormat/>
    <w:pPr>
      <w:suppressLineNumbers/>
    </w:pPr>
    <w:rPr>
      <w:rFonts w:cs="Lucida Sans"/>
    </w:rPr>
  </w:style>
  <w:style w:type="paragraph" w:styleId="aa">
    <w:name w:val="header"/>
    <w:basedOn w:val="a"/>
    <w:link w:val="22"/>
    <w:uiPriority w:val="99"/>
    <w:rPr>
      <w:sz w:val="21"/>
      <w:szCs w:val="20"/>
    </w:rPr>
  </w:style>
  <w:style w:type="paragraph" w:styleId="ab">
    <w:name w:val="Balloon Text"/>
    <w:basedOn w:val="a"/>
    <w:link w:val="23"/>
    <w:uiPriority w:val="99"/>
    <w:qFormat/>
    <w:rPr>
      <w:rFonts w:ascii="Segoe UI" w:hAnsi="Segoe UI" w:cs="Segoe UI"/>
      <w:sz w:val="18"/>
      <w:szCs w:val="18"/>
    </w:rPr>
  </w:style>
  <w:style w:type="character" w:customStyle="1" w:styleId="10">
    <w:name w:val="Заголовок 1 Знак"/>
    <w:basedOn w:val="a1"/>
    <w:link w:val="1"/>
    <w:rsid w:val="00ED7F17"/>
    <w:rPr>
      <w:rFonts w:ascii="Arial" w:eastAsia="Arial" w:hAnsi="Arial" w:cs="Arial"/>
      <w:color w:val="00000A"/>
      <w:sz w:val="40"/>
      <w:szCs w:val="40"/>
      <w:lang w:eastAsia="zh-CN"/>
    </w:rPr>
  </w:style>
  <w:style w:type="character" w:customStyle="1" w:styleId="20">
    <w:name w:val="Заголовок 2 Знак"/>
    <w:basedOn w:val="a1"/>
    <w:link w:val="2"/>
    <w:semiHidden/>
    <w:rsid w:val="00ED7F17"/>
    <w:rPr>
      <w:rFonts w:ascii="Arial" w:eastAsia="Arial" w:hAnsi="Arial" w:cs="Arial"/>
      <w:color w:val="00000A"/>
      <w:sz w:val="32"/>
      <w:szCs w:val="32"/>
      <w:lang w:eastAsia="zh-CN"/>
    </w:rPr>
  </w:style>
  <w:style w:type="character" w:customStyle="1" w:styleId="30">
    <w:name w:val="Заголовок 3 Знак"/>
    <w:basedOn w:val="a1"/>
    <w:link w:val="3"/>
    <w:semiHidden/>
    <w:rsid w:val="00ED7F17"/>
    <w:rPr>
      <w:rFonts w:ascii="Arial" w:eastAsia="Arial" w:hAnsi="Arial" w:cs="Arial"/>
      <w:color w:val="434343"/>
      <w:sz w:val="28"/>
      <w:szCs w:val="28"/>
      <w:lang w:eastAsia="zh-CN"/>
    </w:rPr>
  </w:style>
  <w:style w:type="character" w:customStyle="1" w:styleId="40">
    <w:name w:val="Заголовок 4 Знак"/>
    <w:basedOn w:val="a1"/>
    <w:link w:val="4"/>
    <w:semiHidden/>
    <w:rsid w:val="00ED7F17"/>
    <w:rPr>
      <w:rFonts w:ascii="Arial" w:eastAsia="Arial" w:hAnsi="Arial" w:cs="Arial"/>
      <w:color w:val="666666"/>
      <w:sz w:val="24"/>
      <w:szCs w:val="24"/>
      <w:lang w:eastAsia="zh-CN"/>
    </w:rPr>
  </w:style>
  <w:style w:type="character" w:customStyle="1" w:styleId="50">
    <w:name w:val="Заголовок 5 Знак"/>
    <w:basedOn w:val="a1"/>
    <w:link w:val="5"/>
    <w:semiHidden/>
    <w:rsid w:val="00ED7F17"/>
    <w:rPr>
      <w:rFonts w:ascii="Arial" w:eastAsia="Arial" w:hAnsi="Arial" w:cs="Arial"/>
      <w:color w:val="666666"/>
      <w:sz w:val="22"/>
      <w:lang w:eastAsia="zh-CN"/>
    </w:rPr>
  </w:style>
  <w:style w:type="character" w:customStyle="1" w:styleId="60">
    <w:name w:val="Заголовок 6 Знак"/>
    <w:basedOn w:val="a1"/>
    <w:link w:val="6"/>
    <w:semiHidden/>
    <w:rsid w:val="00ED7F17"/>
    <w:rPr>
      <w:rFonts w:ascii="Arial" w:eastAsia="Arial" w:hAnsi="Arial" w:cs="Arial"/>
      <w:i/>
      <w:color w:val="666666"/>
      <w:sz w:val="22"/>
      <w:lang w:eastAsia="zh-CN"/>
    </w:rPr>
  </w:style>
  <w:style w:type="character" w:styleId="ac">
    <w:name w:val="Hyperlink"/>
    <w:semiHidden/>
    <w:unhideWhenUsed/>
    <w:rsid w:val="00ED7F17"/>
    <w:rPr>
      <w:color w:val="0000FF"/>
      <w:u w:val="single"/>
    </w:rPr>
  </w:style>
  <w:style w:type="character" w:styleId="ad">
    <w:name w:val="FollowedHyperlink"/>
    <w:basedOn w:val="a1"/>
    <w:uiPriority w:val="99"/>
    <w:semiHidden/>
    <w:unhideWhenUsed/>
    <w:rsid w:val="00ED7F17"/>
    <w:rPr>
      <w:color w:val="800080" w:themeColor="followedHyperlink"/>
      <w:u w:val="single"/>
    </w:rPr>
  </w:style>
  <w:style w:type="character" w:customStyle="1" w:styleId="ae">
    <w:name w:val="Основной текст Знак"/>
    <w:basedOn w:val="a1"/>
    <w:qFormat/>
    <w:rsid w:val="00ED7F17"/>
    <w:rPr>
      <w:rFonts w:ascii="Arial" w:eastAsia="Arial" w:hAnsi="Arial" w:cs="Arial"/>
      <w:color w:val="00000A"/>
      <w:sz w:val="22"/>
      <w:lang w:eastAsia="zh-CN"/>
    </w:rPr>
  </w:style>
  <w:style w:type="paragraph" w:styleId="af">
    <w:name w:val="Normal (Web)"/>
    <w:basedOn w:val="a"/>
    <w:semiHidden/>
    <w:unhideWhenUsed/>
    <w:rsid w:val="00ED7F17"/>
    <w:pPr>
      <w:suppressAutoHyphens w:val="0"/>
      <w:overflowPunct/>
      <w:spacing w:before="280" w:after="360"/>
    </w:pPr>
  </w:style>
  <w:style w:type="paragraph" w:styleId="11">
    <w:name w:val="index 1"/>
    <w:basedOn w:val="a"/>
    <w:next w:val="a"/>
    <w:autoRedefine/>
    <w:uiPriority w:val="99"/>
    <w:semiHidden/>
    <w:unhideWhenUsed/>
    <w:qFormat/>
    <w:rsid w:val="00ED7F17"/>
    <w:pPr>
      <w:overflowPunct/>
      <w:ind w:left="220" w:hanging="220"/>
    </w:pPr>
    <w:rPr>
      <w:rFonts w:ascii="Arial" w:eastAsia="Arial" w:hAnsi="Arial" w:cs="Arial"/>
      <w:sz w:val="22"/>
      <w:szCs w:val="22"/>
    </w:rPr>
  </w:style>
  <w:style w:type="paragraph" w:styleId="12">
    <w:name w:val="toc 1"/>
    <w:basedOn w:val="a"/>
    <w:autoRedefine/>
    <w:semiHidden/>
    <w:unhideWhenUsed/>
    <w:rsid w:val="00ED7F17"/>
    <w:pPr>
      <w:overflowPunct/>
      <w:spacing w:before="120" w:line="276" w:lineRule="auto"/>
    </w:pPr>
    <w:rPr>
      <w:rFonts w:ascii="Cambria" w:eastAsia="Arial" w:hAnsi="Cambria" w:cs="Cambria"/>
      <w:b/>
      <w:bCs/>
      <w:i/>
      <w:iCs/>
    </w:rPr>
  </w:style>
  <w:style w:type="paragraph" w:styleId="24">
    <w:name w:val="toc 2"/>
    <w:basedOn w:val="a"/>
    <w:autoRedefine/>
    <w:semiHidden/>
    <w:unhideWhenUsed/>
    <w:rsid w:val="00ED7F17"/>
    <w:pPr>
      <w:overflowPunct/>
      <w:spacing w:before="120" w:line="276" w:lineRule="auto"/>
      <w:ind w:left="220"/>
    </w:pPr>
    <w:rPr>
      <w:rFonts w:ascii="Cambria" w:eastAsia="Arial" w:hAnsi="Cambria" w:cs="Cambria"/>
      <w:b/>
      <w:bCs/>
      <w:sz w:val="22"/>
      <w:szCs w:val="22"/>
    </w:rPr>
  </w:style>
  <w:style w:type="paragraph" w:styleId="31">
    <w:name w:val="toc 3"/>
    <w:basedOn w:val="a"/>
    <w:autoRedefine/>
    <w:semiHidden/>
    <w:unhideWhenUsed/>
    <w:rsid w:val="00ED7F17"/>
    <w:pPr>
      <w:overflowPunct/>
      <w:spacing w:line="276" w:lineRule="auto"/>
      <w:ind w:left="440"/>
    </w:pPr>
    <w:rPr>
      <w:rFonts w:ascii="Cambria" w:eastAsia="Arial" w:hAnsi="Cambria" w:cs="Cambria"/>
      <w:sz w:val="20"/>
      <w:szCs w:val="20"/>
    </w:rPr>
  </w:style>
  <w:style w:type="paragraph" w:styleId="41">
    <w:name w:val="toc 4"/>
    <w:basedOn w:val="a"/>
    <w:autoRedefine/>
    <w:semiHidden/>
    <w:unhideWhenUsed/>
    <w:rsid w:val="00ED7F17"/>
    <w:pPr>
      <w:overflowPunct/>
      <w:spacing w:line="276" w:lineRule="auto"/>
      <w:ind w:left="660"/>
    </w:pPr>
    <w:rPr>
      <w:rFonts w:ascii="Cambria" w:eastAsia="Arial" w:hAnsi="Cambria" w:cs="Cambria"/>
      <w:sz w:val="20"/>
      <w:szCs w:val="20"/>
    </w:rPr>
  </w:style>
  <w:style w:type="paragraph" w:styleId="51">
    <w:name w:val="toc 5"/>
    <w:basedOn w:val="a"/>
    <w:autoRedefine/>
    <w:semiHidden/>
    <w:unhideWhenUsed/>
    <w:rsid w:val="00ED7F17"/>
    <w:pPr>
      <w:overflowPunct/>
      <w:spacing w:line="276" w:lineRule="auto"/>
      <w:ind w:left="880"/>
    </w:pPr>
    <w:rPr>
      <w:rFonts w:ascii="Cambria" w:eastAsia="Arial" w:hAnsi="Cambria" w:cs="Cambria"/>
      <w:sz w:val="20"/>
      <w:szCs w:val="20"/>
    </w:rPr>
  </w:style>
  <w:style w:type="paragraph" w:styleId="61">
    <w:name w:val="toc 6"/>
    <w:basedOn w:val="a"/>
    <w:autoRedefine/>
    <w:semiHidden/>
    <w:unhideWhenUsed/>
    <w:rsid w:val="00ED7F17"/>
    <w:pPr>
      <w:overflowPunct/>
      <w:spacing w:line="276" w:lineRule="auto"/>
      <w:ind w:left="1100"/>
    </w:pPr>
    <w:rPr>
      <w:rFonts w:ascii="Cambria" w:eastAsia="Arial" w:hAnsi="Cambria" w:cs="Cambria"/>
      <w:sz w:val="20"/>
      <w:szCs w:val="20"/>
    </w:rPr>
  </w:style>
  <w:style w:type="paragraph" w:styleId="7">
    <w:name w:val="toc 7"/>
    <w:basedOn w:val="a"/>
    <w:autoRedefine/>
    <w:semiHidden/>
    <w:unhideWhenUsed/>
    <w:rsid w:val="00ED7F17"/>
    <w:pPr>
      <w:overflowPunct/>
      <w:spacing w:line="276" w:lineRule="auto"/>
      <w:ind w:left="1320"/>
    </w:pPr>
    <w:rPr>
      <w:rFonts w:ascii="Cambria" w:eastAsia="Arial" w:hAnsi="Cambria" w:cs="Cambria"/>
      <w:sz w:val="20"/>
      <w:szCs w:val="20"/>
    </w:rPr>
  </w:style>
  <w:style w:type="paragraph" w:styleId="8">
    <w:name w:val="toc 8"/>
    <w:basedOn w:val="a"/>
    <w:autoRedefine/>
    <w:semiHidden/>
    <w:unhideWhenUsed/>
    <w:rsid w:val="00ED7F17"/>
    <w:pPr>
      <w:overflowPunct/>
      <w:spacing w:line="276" w:lineRule="auto"/>
      <w:ind w:left="1540"/>
    </w:pPr>
    <w:rPr>
      <w:rFonts w:ascii="Cambria" w:eastAsia="Arial" w:hAnsi="Cambria" w:cs="Cambria"/>
      <w:sz w:val="20"/>
      <w:szCs w:val="20"/>
    </w:rPr>
  </w:style>
  <w:style w:type="paragraph" w:styleId="9">
    <w:name w:val="toc 9"/>
    <w:basedOn w:val="a"/>
    <w:autoRedefine/>
    <w:semiHidden/>
    <w:unhideWhenUsed/>
    <w:rsid w:val="00ED7F17"/>
    <w:pPr>
      <w:overflowPunct/>
      <w:spacing w:line="276" w:lineRule="auto"/>
      <w:ind w:left="1760"/>
    </w:pPr>
    <w:rPr>
      <w:rFonts w:ascii="Cambria" w:eastAsia="Arial" w:hAnsi="Cambria" w:cs="Cambria"/>
      <w:sz w:val="20"/>
      <w:szCs w:val="20"/>
    </w:rPr>
  </w:style>
  <w:style w:type="paragraph" w:styleId="af0">
    <w:name w:val="footnote text"/>
    <w:basedOn w:val="a"/>
    <w:link w:val="25"/>
    <w:semiHidden/>
    <w:unhideWhenUsed/>
    <w:rsid w:val="00ED7F17"/>
    <w:pPr>
      <w:overflowPunct/>
    </w:pPr>
    <w:rPr>
      <w:rFonts w:ascii="Arial" w:eastAsia="Arial" w:hAnsi="Arial" w:cs="Arial"/>
      <w:sz w:val="20"/>
      <w:szCs w:val="20"/>
    </w:rPr>
  </w:style>
  <w:style w:type="character" w:customStyle="1" w:styleId="af1">
    <w:name w:val="Текст сноски Знак"/>
    <w:basedOn w:val="a1"/>
    <w:semiHidden/>
    <w:rsid w:val="00ED7F17"/>
    <w:rPr>
      <w:rFonts w:ascii="Times New Roman" w:eastAsia="Times New Roman" w:hAnsi="Times New Roman" w:cs="Times New Roman"/>
      <w:color w:val="00000A"/>
      <w:szCs w:val="20"/>
      <w:lang w:eastAsia="zh-CN"/>
    </w:rPr>
  </w:style>
  <w:style w:type="paragraph" w:styleId="af2">
    <w:name w:val="annotation text"/>
    <w:basedOn w:val="a"/>
    <w:link w:val="26"/>
    <w:uiPriority w:val="99"/>
    <w:semiHidden/>
    <w:unhideWhenUsed/>
    <w:rsid w:val="00ED7F17"/>
    <w:pPr>
      <w:overflowPunct/>
    </w:pPr>
    <w:rPr>
      <w:rFonts w:ascii="Arial" w:eastAsia="Arial" w:hAnsi="Arial" w:cs="Arial"/>
      <w:sz w:val="20"/>
      <w:szCs w:val="20"/>
    </w:rPr>
  </w:style>
  <w:style w:type="character" w:customStyle="1" w:styleId="af3">
    <w:name w:val="Текст примечания Знак"/>
    <w:basedOn w:val="a1"/>
    <w:uiPriority w:val="99"/>
    <w:semiHidden/>
    <w:rsid w:val="00ED7F17"/>
    <w:rPr>
      <w:rFonts w:ascii="Times New Roman" w:eastAsia="Times New Roman" w:hAnsi="Times New Roman" w:cs="Times New Roman"/>
      <w:color w:val="00000A"/>
      <w:szCs w:val="20"/>
      <w:lang w:eastAsia="zh-CN"/>
    </w:rPr>
  </w:style>
  <w:style w:type="paragraph" w:styleId="af4">
    <w:name w:val="footer"/>
    <w:basedOn w:val="a"/>
    <w:link w:val="27"/>
    <w:uiPriority w:val="99"/>
    <w:unhideWhenUsed/>
    <w:rsid w:val="00ED7F17"/>
    <w:pPr>
      <w:overflowPunct/>
    </w:pPr>
    <w:rPr>
      <w:rFonts w:ascii="Arial" w:eastAsia="Arial" w:hAnsi="Arial" w:cs="Arial"/>
      <w:sz w:val="22"/>
      <w:szCs w:val="22"/>
    </w:rPr>
  </w:style>
  <w:style w:type="character" w:customStyle="1" w:styleId="af5">
    <w:name w:val="Нижний колонтитул Знак"/>
    <w:basedOn w:val="a1"/>
    <w:uiPriority w:val="99"/>
    <w:qFormat/>
    <w:rsid w:val="00ED7F17"/>
    <w:rPr>
      <w:rFonts w:ascii="Times New Roman" w:eastAsia="Times New Roman" w:hAnsi="Times New Roman" w:cs="Times New Roman"/>
      <w:color w:val="00000A"/>
      <w:sz w:val="24"/>
      <w:szCs w:val="24"/>
      <w:lang w:eastAsia="zh-CN"/>
    </w:rPr>
  </w:style>
  <w:style w:type="paragraph" w:styleId="af6">
    <w:name w:val="Body Text Indent"/>
    <w:basedOn w:val="a"/>
    <w:link w:val="28"/>
    <w:semiHidden/>
    <w:unhideWhenUsed/>
    <w:rsid w:val="00ED7F17"/>
    <w:pPr>
      <w:overflowPunct/>
      <w:spacing w:after="120" w:line="252" w:lineRule="auto"/>
      <w:ind w:left="283"/>
    </w:pPr>
    <w:rPr>
      <w:rFonts w:ascii="Calibri" w:eastAsia="Calibri" w:hAnsi="Calibri"/>
      <w:sz w:val="22"/>
      <w:szCs w:val="22"/>
    </w:rPr>
  </w:style>
  <w:style w:type="character" w:customStyle="1" w:styleId="af7">
    <w:name w:val="Основной текст с отступом Знак"/>
    <w:basedOn w:val="a1"/>
    <w:semiHidden/>
    <w:rsid w:val="00ED7F17"/>
    <w:rPr>
      <w:rFonts w:ascii="Times New Roman" w:eastAsia="Times New Roman" w:hAnsi="Times New Roman" w:cs="Times New Roman"/>
      <w:color w:val="00000A"/>
      <w:sz w:val="24"/>
      <w:szCs w:val="24"/>
      <w:lang w:eastAsia="zh-CN"/>
    </w:rPr>
  </w:style>
  <w:style w:type="paragraph" w:styleId="af8">
    <w:name w:val="Subtitle"/>
    <w:basedOn w:val="a"/>
    <w:next w:val="a0"/>
    <w:link w:val="13"/>
    <w:qFormat/>
    <w:rsid w:val="00ED7F17"/>
    <w:pPr>
      <w:keepNext/>
      <w:keepLines/>
      <w:overflowPunct/>
      <w:spacing w:after="320" w:line="276" w:lineRule="auto"/>
    </w:pPr>
    <w:rPr>
      <w:rFonts w:ascii="Arial" w:eastAsia="Arial" w:hAnsi="Arial" w:cs="Arial"/>
      <w:color w:val="666666"/>
      <w:sz w:val="30"/>
      <w:szCs w:val="30"/>
    </w:rPr>
  </w:style>
  <w:style w:type="character" w:customStyle="1" w:styleId="af9">
    <w:name w:val="Подзаголовок Знак"/>
    <w:basedOn w:val="a1"/>
    <w:rsid w:val="00ED7F17"/>
    <w:rPr>
      <w:rFonts w:asciiTheme="majorHAnsi" w:eastAsiaTheme="majorEastAsia" w:hAnsiTheme="majorHAnsi" w:cstheme="majorBidi"/>
      <w:i/>
      <w:iCs/>
      <w:color w:val="4F81BD" w:themeColor="accent1"/>
      <w:spacing w:val="15"/>
      <w:sz w:val="24"/>
      <w:szCs w:val="24"/>
      <w:lang w:eastAsia="zh-CN"/>
    </w:rPr>
  </w:style>
  <w:style w:type="paragraph" w:styleId="afa">
    <w:name w:val="No Spacing"/>
    <w:qFormat/>
    <w:rsid w:val="00ED7F17"/>
    <w:pPr>
      <w:suppressAutoHyphens/>
    </w:pPr>
    <w:rPr>
      <w:rFonts w:eastAsia="Times New Roman" w:cs="Calibri"/>
      <w:color w:val="00000A"/>
      <w:sz w:val="22"/>
      <w:lang w:eastAsia="zh-CN"/>
    </w:rPr>
  </w:style>
  <w:style w:type="paragraph" w:styleId="afb">
    <w:name w:val="Revision"/>
    <w:semiHidden/>
    <w:rsid w:val="00ED7F17"/>
    <w:pPr>
      <w:suppressAutoHyphens/>
    </w:pPr>
    <w:rPr>
      <w:rFonts w:ascii="Arial" w:eastAsia="Arial" w:hAnsi="Arial" w:cs="Arial"/>
      <w:color w:val="00000A"/>
      <w:sz w:val="22"/>
      <w:lang w:eastAsia="zh-CN"/>
    </w:rPr>
  </w:style>
  <w:style w:type="paragraph" w:styleId="afc">
    <w:name w:val="List Paragraph"/>
    <w:basedOn w:val="a"/>
    <w:qFormat/>
    <w:rsid w:val="00ED7F17"/>
    <w:pPr>
      <w:overflowPunct/>
      <w:spacing w:after="200" w:line="276" w:lineRule="auto"/>
      <w:ind w:left="720"/>
      <w:contextualSpacing/>
    </w:pPr>
    <w:rPr>
      <w:rFonts w:ascii="Arial" w:eastAsia="Arial" w:hAnsi="Arial" w:cs="Arial"/>
      <w:sz w:val="22"/>
      <w:szCs w:val="22"/>
    </w:rPr>
  </w:style>
  <w:style w:type="paragraph" w:customStyle="1" w:styleId="42">
    <w:name w:val="Указатель4"/>
    <w:basedOn w:val="a"/>
    <w:rsid w:val="00ED7F17"/>
    <w:pPr>
      <w:suppressLineNumbers/>
      <w:overflowPunct/>
      <w:spacing w:line="276" w:lineRule="auto"/>
    </w:pPr>
    <w:rPr>
      <w:rFonts w:ascii="Arial" w:eastAsia="Arial" w:hAnsi="Arial" w:cs="Mangal"/>
      <w:sz w:val="22"/>
      <w:szCs w:val="22"/>
    </w:rPr>
  </w:style>
  <w:style w:type="paragraph" w:customStyle="1" w:styleId="32">
    <w:name w:val="Заголовок3"/>
    <w:basedOn w:val="a"/>
    <w:next w:val="a0"/>
    <w:rsid w:val="00ED7F17"/>
    <w:pPr>
      <w:keepNext/>
      <w:overflowPunct/>
      <w:spacing w:before="240" w:after="120" w:line="276" w:lineRule="auto"/>
    </w:pPr>
    <w:rPr>
      <w:rFonts w:ascii="Liberation Sans" w:eastAsia="Microsoft YaHei" w:hAnsi="Liberation Sans" w:cs="Mangal"/>
      <w:sz w:val="28"/>
      <w:szCs w:val="28"/>
    </w:rPr>
  </w:style>
  <w:style w:type="paragraph" w:customStyle="1" w:styleId="33">
    <w:name w:val="Название объекта3"/>
    <w:basedOn w:val="a"/>
    <w:rsid w:val="00ED7F17"/>
    <w:pPr>
      <w:suppressLineNumbers/>
      <w:overflowPunct/>
      <w:spacing w:before="120" w:after="120" w:line="276" w:lineRule="auto"/>
    </w:pPr>
    <w:rPr>
      <w:rFonts w:ascii="Arial" w:eastAsia="Arial" w:hAnsi="Arial" w:cs="Mangal"/>
      <w:i/>
      <w:iCs/>
    </w:rPr>
  </w:style>
  <w:style w:type="paragraph" w:customStyle="1" w:styleId="34">
    <w:name w:val="Указатель3"/>
    <w:basedOn w:val="a"/>
    <w:rsid w:val="00ED7F17"/>
    <w:pPr>
      <w:suppressLineNumbers/>
      <w:overflowPunct/>
      <w:spacing w:line="276" w:lineRule="auto"/>
    </w:pPr>
    <w:rPr>
      <w:rFonts w:ascii="Arial" w:eastAsia="Arial" w:hAnsi="Arial" w:cs="Mangal"/>
      <w:sz w:val="22"/>
      <w:szCs w:val="22"/>
    </w:rPr>
  </w:style>
  <w:style w:type="paragraph" w:customStyle="1" w:styleId="29">
    <w:name w:val="Заголовок2"/>
    <w:basedOn w:val="a"/>
    <w:next w:val="a0"/>
    <w:rsid w:val="00ED7F17"/>
    <w:pPr>
      <w:keepNext/>
      <w:keepLines/>
      <w:overflowPunct/>
      <w:spacing w:after="60" w:line="276" w:lineRule="auto"/>
    </w:pPr>
    <w:rPr>
      <w:rFonts w:ascii="Arial" w:eastAsia="Arial" w:hAnsi="Arial" w:cs="Arial"/>
      <w:sz w:val="52"/>
      <w:szCs w:val="52"/>
    </w:rPr>
  </w:style>
  <w:style w:type="paragraph" w:customStyle="1" w:styleId="2a">
    <w:name w:val="Название объекта2"/>
    <w:basedOn w:val="a"/>
    <w:rsid w:val="00ED7F17"/>
    <w:pPr>
      <w:suppressLineNumbers/>
      <w:overflowPunct/>
      <w:spacing w:before="120" w:after="120" w:line="276" w:lineRule="auto"/>
    </w:pPr>
    <w:rPr>
      <w:rFonts w:ascii="Arial" w:eastAsia="Arial" w:hAnsi="Arial" w:cs="Arial"/>
      <w:i/>
      <w:iCs/>
    </w:rPr>
  </w:style>
  <w:style w:type="paragraph" w:customStyle="1" w:styleId="2b">
    <w:name w:val="Указатель2"/>
    <w:basedOn w:val="a"/>
    <w:rsid w:val="00ED7F17"/>
    <w:pPr>
      <w:suppressLineNumbers/>
      <w:overflowPunct/>
      <w:spacing w:line="276" w:lineRule="auto"/>
    </w:pPr>
    <w:rPr>
      <w:rFonts w:ascii="Arial" w:eastAsia="Arial" w:hAnsi="Arial" w:cs="Arial"/>
      <w:sz w:val="22"/>
      <w:szCs w:val="22"/>
    </w:rPr>
  </w:style>
  <w:style w:type="paragraph" w:customStyle="1" w:styleId="14">
    <w:name w:val="Заголовок1"/>
    <w:basedOn w:val="a"/>
    <w:next w:val="a0"/>
    <w:rsid w:val="00ED7F17"/>
    <w:pPr>
      <w:keepNext/>
      <w:overflowPunct/>
      <w:spacing w:before="240" w:after="120" w:line="276" w:lineRule="auto"/>
    </w:pPr>
    <w:rPr>
      <w:rFonts w:ascii="Liberation Sans" w:eastAsia="Microsoft YaHei" w:hAnsi="Liberation Sans" w:cs="Mangal"/>
      <w:sz w:val="28"/>
      <w:szCs w:val="28"/>
    </w:rPr>
  </w:style>
  <w:style w:type="paragraph" w:customStyle="1" w:styleId="15">
    <w:name w:val="Название объекта1"/>
    <w:basedOn w:val="a"/>
    <w:rsid w:val="00ED7F17"/>
    <w:pPr>
      <w:suppressLineNumbers/>
      <w:overflowPunct/>
      <w:spacing w:before="120" w:after="120" w:line="276" w:lineRule="auto"/>
    </w:pPr>
    <w:rPr>
      <w:rFonts w:ascii="Arial" w:eastAsia="Arial" w:hAnsi="Arial" w:cs="Mangal"/>
      <w:i/>
      <w:iCs/>
    </w:rPr>
  </w:style>
  <w:style w:type="paragraph" w:customStyle="1" w:styleId="16">
    <w:name w:val="Обычный (веб)1"/>
    <w:basedOn w:val="a"/>
    <w:rsid w:val="00ED7F17"/>
    <w:pPr>
      <w:overflowPunct/>
      <w:spacing w:before="280" w:after="280"/>
    </w:pPr>
  </w:style>
  <w:style w:type="paragraph" w:customStyle="1" w:styleId="17">
    <w:name w:val="Абзац списка1"/>
    <w:basedOn w:val="a"/>
    <w:rsid w:val="00ED7F17"/>
    <w:pPr>
      <w:overflowPunct/>
      <w:spacing w:after="160" w:line="252" w:lineRule="auto"/>
      <w:ind w:left="720"/>
      <w:contextualSpacing/>
    </w:pPr>
    <w:rPr>
      <w:rFonts w:ascii="Cambria" w:eastAsia="Cambria" w:hAnsi="Cambria" w:cs="font404"/>
    </w:rPr>
  </w:style>
  <w:style w:type="paragraph" w:customStyle="1" w:styleId="18">
    <w:name w:val="Заголовок таблицы ссылок1"/>
    <w:basedOn w:val="1"/>
    <w:rsid w:val="00ED7F17"/>
    <w:pPr>
      <w:numPr>
        <w:numId w:val="0"/>
      </w:numPr>
      <w:spacing w:before="480" w:after="0"/>
    </w:pPr>
    <w:rPr>
      <w:rFonts w:ascii="Calibri" w:eastAsia="Calibri" w:hAnsi="Calibri" w:cs="Calibri"/>
      <w:b/>
      <w:bCs/>
      <w:color w:val="365F91"/>
      <w:sz w:val="28"/>
      <w:szCs w:val="28"/>
    </w:rPr>
  </w:style>
  <w:style w:type="paragraph" w:customStyle="1" w:styleId="19">
    <w:name w:val="Текст примечания1"/>
    <w:basedOn w:val="a"/>
    <w:rsid w:val="00ED7F17"/>
    <w:pPr>
      <w:overflowPunct/>
    </w:pPr>
    <w:rPr>
      <w:rFonts w:ascii="Arial" w:eastAsia="Arial" w:hAnsi="Arial" w:cs="Arial"/>
      <w:sz w:val="20"/>
      <w:szCs w:val="20"/>
    </w:rPr>
  </w:style>
  <w:style w:type="paragraph" w:customStyle="1" w:styleId="afd">
    <w:name w:val="Содержимое врезки"/>
    <w:basedOn w:val="a"/>
    <w:rsid w:val="00ED7F17"/>
    <w:pPr>
      <w:overflowPunct/>
      <w:spacing w:line="276" w:lineRule="auto"/>
    </w:pPr>
    <w:rPr>
      <w:rFonts w:ascii="Arial" w:eastAsia="Arial" w:hAnsi="Arial" w:cs="Arial"/>
      <w:sz w:val="22"/>
      <w:szCs w:val="22"/>
    </w:rPr>
  </w:style>
  <w:style w:type="paragraph" w:customStyle="1" w:styleId="afe">
    <w:name w:val="Содержимое таблицы"/>
    <w:basedOn w:val="a"/>
    <w:qFormat/>
    <w:rsid w:val="00ED7F17"/>
    <w:pPr>
      <w:overflowPunct/>
      <w:spacing w:line="276" w:lineRule="auto"/>
    </w:pPr>
    <w:rPr>
      <w:rFonts w:ascii="Arial" w:eastAsia="Arial" w:hAnsi="Arial" w:cs="Arial"/>
      <w:sz w:val="22"/>
      <w:szCs w:val="22"/>
    </w:rPr>
  </w:style>
  <w:style w:type="paragraph" w:customStyle="1" w:styleId="aff">
    <w:name w:val="Заголовок таблицы"/>
    <w:basedOn w:val="afe"/>
    <w:qFormat/>
    <w:rsid w:val="00ED7F17"/>
  </w:style>
  <w:style w:type="paragraph" w:customStyle="1" w:styleId="1a">
    <w:name w:val="Указатель1"/>
    <w:basedOn w:val="a"/>
    <w:rsid w:val="00ED7F17"/>
    <w:pPr>
      <w:suppressLineNumbers/>
      <w:overflowPunct/>
    </w:pPr>
    <w:rPr>
      <w:rFonts w:cs="Mangal"/>
    </w:rPr>
  </w:style>
  <w:style w:type="paragraph" w:customStyle="1" w:styleId="aff0">
    <w:name w:val="Нормальный (таблица)"/>
    <w:basedOn w:val="a"/>
    <w:rsid w:val="00ED7F17"/>
    <w:pPr>
      <w:overflowPunct/>
      <w:jc w:val="both"/>
    </w:pPr>
    <w:rPr>
      <w:rFonts w:ascii="Arial" w:hAnsi="Arial" w:cs="Arial"/>
    </w:rPr>
  </w:style>
  <w:style w:type="paragraph" w:customStyle="1" w:styleId="aff1">
    <w:name w:val="Прижатый влево"/>
    <w:basedOn w:val="a"/>
    <w:rsid w:val="00ED7F17"/>
    <w:pPr>
      <w:overflowPunct/>
    </w:pPr>
    <w:rPr>
      <w:rFonts w:ascii="Arial" w:hAnsi="Arial" w:cs="Arial"/>
    </w:rPr>
  </w:style>
  <w:style w:type="paragraph" w:customStyle="1" w:styleId="310">
    <w:name w:val="Основной текст с отступом 31"/>
    <w:basedOn w:val="a"/>
    <w:rsid w:val="00ED7F17"/>
    <w:pPr>
      <w:overflowPunct/>
      <w:spacing w:after="120" w:line="276" w:lineRule="auto"/>
      <w:ind w:left="283"/>
    </w:pPr>
    <w:rPr>
      <w:rFonts w:ascii="Calibri" w:eastAsia="Calibri" w:hAnsi="Calibri" w:cs="Calibri"/>
      <w:sz w:val="16"/>
      <w:szCs w:val="16"/>
    </w:rPr>
  </w:style>
  <w:style w:type="paragraph" w:customStyle="1" w:styleId="114TNR">
    <w:name w:val="1 Текст 14 TNR"/>
    <w:basedOn w:val="a"/>
    <w:rsid w:val="00ED7F17"/>
    <w:pPr>
      <w:overflowPunct/>
      <w:ind w:firstLine="567"/>
      <w:jc w:val="both"/>
    </w:pPr>
    <w:rPr>
      <w:sz w:val="28"/>
      <w:szCs w:val="22"/>
    </w:rPr>
  </w:style>
  <w:style w:type="paragraph" w:customStyle="1" w:styleId="b-articletext">
    <w:name w:val="b-article__text"/>
    <w:basedOn w:val="a"/>
    <w:rsid w:val="00ED7F17"/>
    <w:pPr>
      <w:overflowPunct/>
      <w:spacing w:before="280" w:after="280"/>
    </w:pPr>
  </w:style>
  <w:style w:type="paragraph" w:customStyle="1" w:styleId="ConsPlusNormal">
    <w:name w:val="ConsPlusNormal"/>
    <w:rsid w:val="00ED7F17"/>
    <w:pPr>
      <w:widowControl w:val="0"/>
      <w:suppressAutoHyphens/>
    </w:pPr>
    <w:rPr>
      <w:rFonts w:eastAsia="Times New Roman" w:cs="Calibri"/>
      <w:color w:val="00000A"/>
      <w:sz w:val="22"/>
      <w:szCs w:val="20"/>
      <w:lang w:eastAsia="zh-CN"/>
    </w:rPr>
  </w:style>
  <w:style w:type="paragraph" w:customStyle="1" w:styleId="52">
    <w:name w:val="Основной текст (5)"/>
    <w:basedOn w:val="a"/>
    <w:rsid w:val="00ED7F17"/>
    <w:pPr>
      <w:overflowPunct/>
      <w:spacing w:line="264" w:lineRule="auto"/>
    </w:pPr>
    <w:rPr>
      <w:rFonts w:ascii="Cambria" w:eastAsia="Cambria" w:hAnsi="Cambria" w:cs="Cambria"/>
      <w:sz w:val="20"/>
    </w:rPr>
  </w:style>
  <w:style w:type="paragraph" w:customStyle="1" w:styleId="western">
    <w:name w:val="western"/>
    <w:basedOn w:val="a"/>
    <w:rsid w:val="00ED7F17"/>
    <w:pPr>
      <w:overflowPunct/>
      <w:spacing w:before="280" w:after="142" w:line="288" w:lineRule="auto"/>
    </w:pPr>
    <w:rPr>
      <w:color w:val="000000"/>
    </w:rPr>
  </w:style>
  <w:style w:type="paragraph" w:customStyle="1" w:styleId="s1">
    <w:name w:val="s_1"/>
    <w:basedOn w:val="a"/>
    <w:rsid w:val="00ED7F17"/>
    <w:pPr>
      <w:overflowPunct/>
      <w:spacing w:before="280" w:after="280"/>
    </w:pPr>
  </w:style>
  <w:style w:type="paragraph" w:customStyle="1" w:styleId="formattext">
    <w:name w:val="formattext"/>
    <w:basedOn w:val="a"/>
    <w:rsid w:val="00ED7F17"/>
    <w:pPr>
      <w:overflowPunct/>
      <w:spacing w:before="280" w:after="280"/>
    </w:pPr>
  </w:style>
  <w:style w:type="paragraph" w:customStyle="1" w:styleId="2c">
    <w:name w:val="Основной текст (2)"/>
    <w:basedOn w:val="a"/>
    <w:rsid w:val="00ED7F17"/>
    <w:pPr>
      <w:overflowPunct/>
      <w:spacing w:line="341" w:lineRule="exact"/>
      <w:ind w:hanging="380"/>
    </w:pPr>
    <w:rPr>
      <w:spacing w:val="10"/>
      <w:sz w:val="25"/>
      <w:szCs w:val="25"/>
    </w:rPr>
  </w:style>
  <w:style w:type="paragraph" w:customStyle="1" w:styleId="1b">
    <w:name w:val="Основной текст1"/>
    <w:basedOn w:val="a"/>
    <w:rsid w:val="00ED7F17"/>
    <w:pPr>
      <w:keepNext/>
      <w:widowControl w:val="0"/>
      <w:suppressAutoHyphens w:val="0"/>
      <w:overflowPunct/>
      <w:spacing w:line="276" w:lineRule="auto"/>
      <w:jc w:val="both"/>
    </w:pPr>
    <w:rPr>
      <w:sz w:val="28"/>
      <w:szCs w:val="28"/>
      <w:lang w:bidi="ru-RU"/>
    </w:rPr>
  </w:style>
  <w:style w:type="paragraph" w:customStyle="1" w:styleId="1c">
    <w:name w:val="Обычный1"/>
    <w:rsid w:val="00ED7F17"/>
    <w:pPr>
      <w:suppressAutoHyphens/>
      <w:spacing w:line="200" w:lineRule="atLeast"/>
    </w:pPr>
    <w:rPr>
      <w:rFonts w:ascii="Mangal" w:eastAsia="Tahoma" w:hAnsi="Mangal" w:cs="Liberation Sans"/>
      <w:color w:val="000000"/>
      <w:kern w:val="2"/>
      <w:sz w:val="36"/>
      <w:szCs w:val="24"/>
      <w:lang w:eastAsia="zh-CN" w:bidi="hi-IN"/>
    </w:rPr>
  </w:style>
  <w:style w:type="paragraph" w:customStyle="1" w:styleId="aff2">
    <w:name w:val="Объект со стрелкой"/>
    <w:basedOn w:val="1c"/>
    <w:rsid w:val="00ED7F17"/>
    <w:rPr>
      <w:rFonts w:cs="Mangal"/>
    </w:rPr>
  </w:style>
  <w:style w:type="paragraph" w:customStyle="1" w:styleId="aff3">
    <w:name w:val="Объект с тенью"/>
    <w:basedOn w:val="1c"/>
    <w:rsid w:val="00ED7F17"/>
    <w:rPr>
      <w:rFonts w:cs="Mangal"/>
    </w:rPr>
  </w:style>
  <w:style w:type="paragraph" w:customStyle="1" w:styleId="aff4">
    <w:name w:val="Объект без заливки"/>
    <w:basedOn w:val="1c"/>
    <w:rsid w:val="00ED7F17"/>
    <w:rPr>
      <w:rFonts w:cs="Mangal"/>
    </w:rPr>
  </w:style>
  <w:style w:type="paragraph" w:customStyle="1" w:styleId="aff5">
    <w:name w:val="Объект без заливки и линий"/>
    <w:basedOn w:val="1c"/>
    <w:rsid w:val="00ED7F17"/>
    <w:rPr>
      <w:rFonts w:cs="Mangal"/>
    </w:rPr>
  </w:style>
  <w:style w:type="paragraph" w:customStyle="1" w:styleId="aff6">
    <w:name w:val="Выравнивание текста по ширине"/>
    <w:basedOn w:val="1c"/>
    <w:rsid w:val="00ED7F17"/>
    <w:rPr>
      <w:rFonts w:cs="Mangal"/>
    </w:rPr>
  </w:style>
  <w:style w:type="paragraph" w:customStyle="1" w:styleId="1d">
    <w:name w:val="Название 1"/>
    <w:basedOn w:val="1c"/>
    <w:rsid w:val="00ED7F17"/>
    <w:pPr>
      <w:jc w:val="center"/>
    </w:pPr>
    <w:rPr>
      <w:rFonts w:cs="Mangal"/>
    </w:rPr>
  </w:style>
  <w:style w:type="paragraph" w:customStyle="1" w:styleId="2d">
    <w:name w:val="Название 2"/>
    <w:basedOn w:val="1c"/>
    <w:rsid w:val="00ED7F17"/>
    <w:pPr>
      <w:spacing w:before="57" w:after="57"/>
      <w:ind w:right="113"/>
      <w:jc w:val="center"/>
    </w:pPr>
    <w:rPr>
      <w:rFonts w:cs="Mangal"/>
    </w:rPr>
  </w:style>
  <w:style w:type="paragraph" w:customStyle="1" w:styleId="aff7">
    <w:name w:val="Размерная линия"/>
    <w:basedOn w:val="1c"/>
    <w:rsid w:val="00ED7F17"/>
    <w:rPr>
      <w:rFonts w:cs="Mangal"/>
    </w:rPr>
  </w:style>
  <w:style w:type="paragraph" w:customStyle="1" w:styleId="BlankSlideLTGliederung1">
    <w:name w:val="Blank Slide~LT~Gliederung 1"/>
    <w:rsid w:val="00ED7F17"/>
    <w:pPr>
      <w:suppressAutoHyphens/>
      <w:spacing w:before="283"/>
    </w:pPr>
    <w:rPr>
      <w:rFonts w:ascii="Mangal" w:eastAsia="Tahoma" w:hAnsi="Mangal" w:cs="Liberation Sans"/>
      <w:color w:val="000000"/>
      <w:kern w:val="2"/>
      <w:sz w:val="63"/>
      <w:szCs w:val="24"/>
      <w:lang w:eastAsia="zh-CN" w:bidi="hi-IN"/>
    </w:rPr>
  </w:style>
  <w:style w:type="paragraph" w:customStyle="1" w:styleId="BlankSlideLTGliederung2">
    <w:name w:val="Blank Slide~LT~Gliederung 2"/>
    <w:basedOn w:val="BlankSlideLTGliederung1"/>
    <w:rsid w:val="00ED7F17"/>
    <w:pPr>
      <w:spacing w:before="227"/>
    </w:pPr>
    <w:rPr>
      <w:rFonts w:cs="Mangal"/>
      <w:sz w:val="56"/>
    </w:rPr>
  </w:style>
  <w:style w:type="paragraph" w:customStyle="1" w:styleId="BlankSlideLTGliederung3">
    <w:name w:val="Blank Slide~LT~Gliederung 3"/>
    <w:basedOn w:val="BlankSlideLTGliederung2"/>
    <w:rsid w:val="00ED7F17"/>
    <w:pPr>
      <w:spacing w:before="170"/>
    </w:pPr>
    <w:rPr>
      <w:sz w:val="48"/>
    </w:rPr>
  </w:style>
  <w:style w:type="paragraph" w:customStyle="1" w:styleId="BlankSlideLTGliederung4">
    <w:name w:val="Blank Slide~LT~Gliederung 4"/>
    <w:basedOn w:val="BlankSlideLTGliederung3"/>
    <w:rsid w:val="00ED7F17"/>
    <w:pPr>
      <w:spacing w:before="113"/>
    </w:pPr>
    <w:rPr>
      <w:sz w:val="40"/>
    </w:rPr>
  </w:style>
  <w:style w:type="paragraph" w:customStyle="1" w:styleId="BlankSlideLTGliederung5">
    <w:name w:val="Blank Slide~LT~Gliederung 5"/>
    <w:basedOn w:val="BlankSlideLTGliederung4"/>
    <w:rsid w:val="00ED7F17"/>
    <w:pPr>
      <w:spacing w:before="57"/>
    </w:pPr>
  </w:style>
  <w:style w:type="paragraph" w:customStyle="1" w:styleId="BlankSlideLTGliederung6">
    <w:name w:val="Blank Slide~LT~Gliederung 6"/>
    <w:basedOn w:val="BlankSlideLTGliederung5"/>
    <w:rsid w:val="00ED7F17"/>
  </w:style>
  <w:style w:type="paragraph" w:customStyle="1" w:styleId="BlankSlideLTGliederung7">
    <w:name w:val="Blank Slide~LT~Gliederung 7"/>
    <w:basedOn w:val="BlankSlideLTGliederung6"/>
    <w:rsid w:val="00ED7F17"/>
  </w:style>
  <w:style w:type="paragraph" w:customStyle="1" w:styleId="BlankSlideLTGliederung8">
    <w:name w:val="Blank Slide~LT~Gliederung 8"/>
    <w:basedOn w:val="BlankSlideLTGliederung7"/>
    <w:rsid w:val="00ED7F17"/>
  </w:style>
  <w:style w:type="paragraph" w:customStyle="1" w:styleId="BlankSlideLTGliederung9">
    <w:name w:val="Blank Slide~LT~Gliederung 9"/>
    <w:basedOn w:val="BlankSlideLTGliederung8"/>
    <w:rsid w:val="00ED7F17"/>
  </w:style>
  <w:style w:type="paragraph" w:customStyle="1" w:styleId="BlankSlideLTTitel">
    <w:name w:val="Blank Slide~LT~Titel"/>
    <w:rsid w:val="00ED7F17"/>
    <w:pPr>
      <w:suppressAutoHyphens/>
      <w:jc w:val="center"/>
    </w:pPr>
    <w:rPr>
      <w:rFonts w:ascii="Mangal" w:eastAsia="Tahoma" w:hAnsi="Mangal" w:cs="Liberation Sans"/>
      <w:color w:val="000000"/>
      <w:kern w:val="2"/>
      <w:sz w:val="88"/>
      <w:szCs w:val="24"/>
      <w:lang w:eastAsia="zh-CN" w:bidi="hi-IN"/>
    </w:rPr>
  </w:style>
  <w:style w:type="paragraph" w:customStyle="1" w:styleId="BlankSlideLTUntertitel">
    <w:name w:val="Blank Slide~LT~Untertitel"/>
    <w:rsid w:val="00ED7F17"/>
    <w:pPr>
      <w:suppressAutoHyphens/>
      <w:jc w:val="center"/>
    </w:pPr>
    <w:rPr>
      <w:rFonts w:ascii="Mangal" w:eastAsia="Tahoma" w:hAnsi="Mangal" w:cs="Liberation Sans"/>
      <w:color w:val="000000"/>
      <w:kern w:val="2"/>
      <w:sz w:val="64"/>
      <w:szCs w:val="24"/>
      <w:lang w:eastAsia="zh-CN" w:bidi="hi-IN"/>
    </w:rPr>
  </w:style>
  <w:style w:type="paragraph" w:customStyle="1" w:styleId="BlankSlideLTNotizen">
    <w:name w:val="Blank Slide~LT~Notizen"/>
    <w:rsid w:val="00ED7F17"/>
    <w:pPr>
      <w:suppressAutoHyphens/>
      <w:ind w:left="340" w:hanging="340"/>
    </w:pPr>
    <w:rPr>
      <w:rFonts w:ascii="Mangal" w:eastAsia="Tahoma" w:hAnsi="Mangal" w:cs="Liberation Sans"/>
      <w:color w:val="000000"/>
      <w:kern w:val="2"/>
      <w:sz w:val="40"/>
      <w:szCs w:val="24"/>
      <w:lang w:eastAsia="zh-CN" w:bidi="hi-IN"/>
    </w:rPr>
  </w:style>
  <w:style w:type="paragraph" w:customStyle="1" w:styleId="BlankSlideLTHintergrundobjekte">
    <w:name w:val="Blank Slide~LT~Hintergrundobjekte"/>
    <w:rsid w:val="00ED7F17"/>
    <w:pPr>
      <w:suppressAutoHyphens/>
    </w:pPr>
    <w:rPr>
      <w:rFonts w:ascii="Liberation Serif" w:eastAsia="Tahoma" w:hAnsi="Liberation Serif" w:cs="Liberation Sans"/>
      <w:kern w:val="2"/>
      <w:sz w:val="24"/>
      <w:szCs w:val="24"/>
      <w:lang w:eastAsia="zh-CN" w:bidi="hi-IN"/>
    </w:rPr>
  </w:style>
  <w:style w:type="paragraph" w:customStyle="1" w:styleId="BlankSlideLTHintergrund">
    <w:name w:val="Blank Slide~LT~Hintergrund"/>
    <w:rsid w:val="00ED7F17"/>
    <w:pPr>
      <w:suppressAutoHyphens/>
    </w:pPr>
    <w:rPr>
      <w:rFonts w:ascii="Liberation Serif" w:eastAsia="Tahoma" w:hAnsi="Liberation Serif" w:cs="Liberation Sans"/>
      <w:kern w:val="2"/>
      <w:sz w:val="24"/>
      <w:szCs w:val="24"/>
      <w:lang w:eastAsia="zh-CN" w:bidi="hi-IN"/>
    </w:rPr>
  </w:style>
  <w:style w:type="paragraph" w:customStyle="1" w:styleId="default">
    <w:name w:val="default"/>
    <w:rsid w:val="00ED7F17"/>
    <w:pPr>
      <w:suppressAutoHyphens/>
      <w:spacing w:line="200" w:lineRule="atLeast"/>
    </w:pPr>
    <w:rPr>
      <w:rFonts w:ascii="Mangal" w:eastAsia="Tahoma" w:hAnsi="Mangal" w:cs="Liberation Sans"/>
      <w:color w:val="000000"/>
      <w:kern w:val="2"/>
      <w:sz w:val="36"/>
      <w:szCs w:val="24"/>
      <w:lang w:eastAsia="zh-CN" w:bidi="hi-IN"/>
    </w:rPr>
  </w:style>
  <w:style w:type="paragraph" w:customStyle="1" w:styleId="gray1">
    <w:name w:val="gray1"/>
    <w:basedOn w:val="default"/>
    <w:rsid w:val="00ED7F17"/>
    <w:rPr>
      <w:rFonts w:cs="Mangal"/>
    </w:rPr>
  </w:style>
  <w:style w:type="paragraph" w:customStyle="1" w:styleId="gray2">
    <w:name w:val="gray2"/>
    <w:basedOn w:val="default"/>
    <w:rsid w:val="00ED7F17"/>
    <w:rPr>
      <w:rFonts w:cs="Mangal"/>
    </w:rPr>
  </w:style>
  <w:style w:type="paragraph" w:customStyle="1" w:styleId="gray3">
    <w:name w:val="gray3"/>
    <w:basedOn w:val="default"/>
    <w:rsid w:val="00ED7F17"/>
    <w:rPr>
      <w:rFonts w:cs="Mangal"/>
    </w:rPr>
  </w:style>
  <w:style w:type="paragraph" w:customStyle="1" w:styleId="bw1">
    <w:name w:val="bw1"/>
    <w:basedOn w:val="default"/>
    <w:rsid w:val="00ED7F17"/>
    <w:rPr>
      <w:rFonts w:cs="Mangal"/>
    </w:rPr>
  </w:style>
  <w:style w:type="paragraph" w:customStyle="1" w:styleId="bw2">
    <w:name w:val="bw2"/>
    <w:basedOn w:val="default"/>
    <w:rsid w:val="00ED7F17"/>
    <w:rPr>
      <w:rFonts w:cs="Mangal"/>
    </w:rPr>
  </w:style>
  <w:style w:type="paragraph" w:customStyle="1" w:styleId="bw3">
    <w:name w:val="bw3"/>
    <w:basedOn w:val="default"/>
    <w:rsid w:val="00ED7F17"/>
    <w:rPr>
      <w:rFonts w:cs="Mangal"/>
    </w:rPr>
  </w:style>
  <w:style w:type="paragraph" w:customStyle="1" w:styleId="orange1">
    <w:name w:val="orange1"/>
    <w:basedOn w:val="default"/>
    <w:rsid w:val="00ED7F17"/>
    <w:rPr>
      <w:rFonts w:cs="Mangal"/>
    </w:rPr>
  </w:style>
  <w:style w:type="paragraph" w:customStyle="1" w:styleId="orange2">
    <w:name w:val="orange2"/>
    <w:basedOn w:val="default"/>
    <w:rsid w:val="00ED7F17"/>
    <w:rPr>
      <w:rFonts w:cs="Mangal"/>
    </w:rPr>
  </w:style>
  <w:style w:type="paragraph" w:customStyle="1" w:styleId="orange3">
    <w:name w:val="orange3"/>
    <w:basedOn w:val="default"/>
    <w:rsid w:val="00ED7F17"/>
    <w:rPr>
      <w:rFonts w:cs="Mangal"/>
    </w:rPr>
  </w:style>
  <w:style w:type="paragraph" w:customStyle="1" w:styleId="turquoise1">
    <w:name w:val="turquoise1"/>
    <w:basedOn w:val="default"/>
    <w:rsid w:val="00ED7F17"/>
    <w:rPr>
      <w:rFonts w:cs="Mangal"/>
    </w:rPr>
  </w:style>
  <w:style w:type="paragraph" w:customStyle="1" w:styleId="turquoise2">
    <w:name w:val="turquoise2"/>
    <w:basedOn w:val="default"/>
    <w:rsid w:val="00ED7F17"/>
    <w:rPr>
      <w:rFonts w:cs="Mangal"/>
    </w:rPr>
  </w:style>
  <w:style w:type="paragraph" w:customStyle="1" w:styleId="turquoise3">
    <w:name w:val="turquoise3"/>
    <w:basedOn w:val="default"/>
    <w:rsid w:val="00ED7F17"/>
    <w:rPr>
      <w:rFonts w:cs="Mangal"/>
    </w:rPr>
  </w:style>
  <w:style w:type="paragraph" w:customStyle="1" w:styleId="blue1">
    <w:name w:val="blue1"/>
    <w:basedOn w:val="default"/>
    <w:rsid w:val="00ED7F17"/>
    <w:rPr>
      <w:rFonts w:cs="Mangal"/>
    </w:rPr>
  </w:style>
  <w:style w:type="paragraph" w:customStyle="1" w:styleId="blue2">
    <w:name w:val="blue2"/>
    <w:basedOn w:val="default"/>
    <w:rsid w:val="00ED7F17"/>
    <w:rPr>
      <w:rFonts w:cs="Mangal"/>
    </w:rPr>
  </w:style>
  <w:style w:type="paragraph" w:customStyle="1" w:styleId="blue3">
    <w:name w:val="blue3"/>
    <w:basedOn w:val="default"/>
    <w:rsid w:val="00ED7F17"/>
    <w:rPr>
      <w:rFonts w:cs="Mangal"/>
    </w:rPr>
  </w:style>
  <w:style w:type="paragraph" w:customStyle="1" w:styleId="sun1">
    <w:name w:val="sun1"/>
    <w:basedOn w:val="default"/>
    <w:rsid w:val="00ED7F17"/>
    <w:rPr>
      <w:rFonts w:cs="Mangal"/>
    </w:rPr>
  </w:style>
  <w:style w:type="paragraph" w:customStyle="1" w:styleId="sun2">
    <w:name w:val="sun2"/>
    <w:basedOn w:val="default"/>
    <w:rsid w:val="00ED7F17"/>
    <w:rPr>
      <w:rFonts w:cs="Mangal"/>
    </w:rPr>
  </w:style>
  <w:style w:type="paragraph" w:customStyle="1" w:styleId="sun3">
    <w:name w:val="sun3"/>
    <w:basedOn w:val="default"/>
    <w:rsid w:val="00ED7F17"/>
    <w:rPr>
      <w:rFonts w:cs="Mangal"/>
    </w:rPr>
  </w:style>
  <w:style w:type="paragraph" w:customStyle="1" w:styleId="earth1">
    <w:name w:val="earth1"/>
    <w:basedOn w:val="default"/>
    <w:rsid w:val="00ED7F17"/>
    <w:rPr>
      <w:rFonts w:cs="Mangal"/>
    </w:rPr>
  </w:style>
  <w:style w:type="paragraph" w:customStyle="1" w:styleId="earth2">
    <w:name w:val="earth2"/>
    <w:basedOn w:val="default"/>
    <w:rsid w:val="00ED7F17"/>
    <w:rPr>
      <w:rFonts w:cs="Mangal"/>
    </w:rPr>
  </w:style>
  <w:style w:type="paragraph" w:customStyle="1" w:styleId="earth3">
    <w:name w:val="earth3"/>
    <w:basedOn w:val="default"/>
    <w:rsid w:val="00ED7F17"/>
    <w:rPr>
      <w:rFonts w:cs="Mangal"/>
    </w:rPr>
  </w:style>
  <w:style w:type="paragraph" w:customStyle="1" w:styleId="green1">
    <w:name w:val="green1"/>
    <w:basedOn w:val="default"/>
    <w:rsid w:val="00ED7F17"/>
    <w:rPr>
      <w:rFonts w:cs="Mangal"/>
    </w:rPr>
  </w:style>
  <w:style w:type="paragraph" w:customStyle="1" w:styleId="green2">
    <w:name w:val="green2"/>
    <w:basedOn w:val="default"/>
    <w:rsid w:val="00ED7F17"/>
    <w:rPr>
      <w:rFonts w:cs="Mangal"/>
    </w:rPr>
  </w:style>
  <w:style w:type="paragraph" w:customStyle="1" w:styleId="green3">
    <w:name w:val="green3"/>
    <w:basedOn w:val="default"/>
    <w:rsid w:val="00ED7F17"/>
    <w:rPr>
      <w:rFonts w:cs="Mangal"/>
    </w:rPr>
  </w:style>
  <w:style w:type="paragraph" w:customStyle="1" w:styleId="seetang1">
    <w:name w:val="seetang1"/>
    <w:basedOn w:val="default"/>
    <w:rsid w:val="00ED7F17"/>
    <w:rPr>
      <w:rFonts w:cs="Mangal"/>
    </w:rPr>
  </w:style>
  <w:style w:type="paragraph" w:customStyle="1" w:styleId="seetang2">
    <w:name w:val="seetang2"/>
    <w:basedOn w:val="default"/>
    <w:rsid w:val="00ED7F17"/>
    <w:rPr>
      <w:rFonts w:cs="Mangal"/>
    </w:rPr>
  </w:style>
  <w:style w:type="paragraph" w:customStyle="1" w:styleId="seetang3">
    <w:name w:val="seetang3"/>
    <w:basedOn w:val="default"/>
    <w:rsid w:val="00ED7F17"/>
    <w:rPr>
      <w:rFonts w:cs="Mangal"/>
    </w:rPr>
  </w:style>
  <w:style w:type="paragraph" w:customStyle="1" w:styleId="lightblue1">
    <w:name w:val="lightblue1"/>
    <w:basedOn w:val="default"/>
    <w:rsid w:val="00ED7F17"/>
    <w:rPr>
      <w:rFonts w:cs="Mangal"/>
    </w:rPr>
  </w:style>
  <w:style w:type="paragraph" w:customStyle="1" w:styleId="lightblue2">
    <w:name w:val="lightblue2"/>
    <w:basedOn w:val="default"/>
    <w:rsid w:val="00ED7F17"/>
    <w:rPr>
      <w:rFonts w:cs="Mangal"/>
    </w:rPr>
  </w:style>
  <w:style w:type="paragraph" w:customStyle="1" w:styleId="lightblue3">
    <w:name w:val="lightblue3"/>
    <w:basedOn w:val="default"/>
    <w:rsid w:val="00ED7F17"/>
    <w:rPr>
      <w:rFonts w:cs="Mangal"/>
    </w:rPr>
  </w:style>
  <w:style w:type="paragraph" w:customStyle="1" w:styleId="yellow1">
    <w:name w:val="yellow1"/>
    <w:basedOn w:val="default"/>
    <w:rsid w:val="00ED7F17"/>
    <w:rPr>
      <w:rFonts w:cs="Mangal"/>
    </w:rPr>
  </w:style>
  <w:style w:type="paragraph" w:customStyle="1" w:styleId="yellow2">
    <w:name w:val="yellow2"/>
    <w:basedOn w:val="default"/>
    <w:rsid w:val="00ED7F17"/>
    <w:rPr>
      <w:rFonts w:cs="Mangal"/>
    </w:rPr>
  </w:style>
  <w:style w:type="paragraph" w:customStyle="1" w:styleId="yellow3">
    <w:name w:val="yellow3"/>
    <w:basedOn w:val="default"/>
    <w:rsid w:val="00ED7F17"/>
    <w:rPr>
      <w:rFonts w:cs="Mangal"/>
    </w:rPr>
  </w:style>
  <w:style w:type="paragraph" w:customStyle="1" w:styleId="aff8">
    <w:name w:val="Объекты фона"/>
    <w:rsid w:val="00ED7F17"/>
    <w:pPr>
      <w:suppressAutoHyphens/>
    </w:pPr>
    <w:rPr>
      <w:rFonts w:ascii="Liberation Serif" w:eastAsia="Tahoma" w:hAnsi="Liberation Serif" w:cs="Liberation Sans"/>
      <w:kern w:val="2"/>
      <w:sz w:val="24"/>
      <w:szCs w:val="24"/>
      <w:lang w:eastAsia="zh-CN" w:bidi="hi-IN"/>
    </w:rPr>
  </w:style>
  <w:style w:type="paragraph" w:customStyle="1" w:styleId="aff9">
    <w:name w:val="Фон"/>
    <w:rsid w:val="00ED7F17"/>
    <w:pPr>
      <w:suppressAutoHyphens/>
    </w:pPr>
    <w:rPr>
      <w:rFonts w:ascii="Liberation Serif" w:eastAsia="Tahoma" w:hAnsi="Liberation Serif" w:cs="Liberation Sans"/>
      <w:kern w:val="2"/>
      <w:sz w:val="24"/>
      <w:szCs w:val="24"/>
      <w:lang w:eastAsia="zh-CN" w:bidi="hi-IN"/>
    </w:rPr>
  </w:style>
  <w:style w:type="paragraph" w:customStyle="1" w:styleId="affa">
    <w:name w:val="Примечания"/>
    <w:rsid w:val="00ED7F17"/>
    <w:pPr>
      <w:suppressAutoHyphens/>
      <w:ind w:left="340" w:hanging="340"/>
    </w:pPr>
    <w:rPr>
      <w:rFonts w:ascii="Mangal" w:eastAsia="Tahoma" w:hAnsi="Mangal" w:cs="Liberation Sans"/>
      <w:color w:val="000000"/>
      <w:kern w:val="2"/>
      <w:sz w:val="40"/>
      <w:szCs w:val="24"/>
      <w:lang w:eastAsia="zh-CN" w:bidi="hi-IN"/>
    </w:rPr>
  </w:style>
  <w:style w:type="paragraph" w:customStyle="1" w:styleId="1e">
    <w:name w:val="Структура 1"/>
    <w:rsid w:val="00ED7F17"/>
    <w:pPr>
      <w:suppressAutoHyphens/>
      <w:spacing w:before="283"/>
    </w:pPr>
    <w:rPr>
      <w:rFonts w:ascii="Mangal" w:eastAsia="Tahoma" w:hAnsi="Mangal" w:cs="Liberation Sans"/>
      <w:color w:val="000000"/>
      <w:kern w:val="2"/>
      <w:sz w:val="63"/>
      <w:szCs w:val="24"/>
      <w:lang w:eastAsia="zh-CN" w:bidi="hi-IN"/>
    </w:rPr>
  </w:style>
  <w:style w:type="paragraph" w:customStyle="1" w:styleId="2e">
    <w:name w:val="Структура 2"/>
    <w:basedOn w:val="1e"/>
    <w:rsid w:val="00ED7F17"/>
    <w:pPr>
      <w:spacing w:before="227"/>
    </w:pPr>
    <w:rPr>
      <w:rFonts w:cs="Mangal"/>
      <w:sz w:val="56"/>
    </w:rPr>
  </w:style>
  <w:style w:type="paragraph" w:customStyle="1" w:styleId="35">
    <w:name w:val="Структура 3"/>
    <w:basedOn w:val="2e"/>
    <w:rsid w:val="00ED7F17"/>
    <w:pPr>
      <w:spacing w:before="170"/>
    </w:pPr>
    <w:rPr>
      <w:sz w:val="48"/>
    </w:rPr>
  </w:style>
  <w:style w:type="paragraph" w:customStyle="1" w:styleId="43">
    <w:name w:val="Структура 4"/>
    <w:basedOn w:val="35"/>
    <w:rsid w:val="00ED7F17"/>
    <w:pPr>
      <w:spacing w:before="113"/>
    </w:pPr>
    <w:rPr>
      <w:sz w:val="40"/>
    </w:rPr>
  </w:style>
  <w:style w:type="paragraph" w:customStyle="1" w:styleId="53">
    <w:name w:val="Структура 5"/>
    <w:basedOn w:val="43"/>
    <w:rsid w:val="00ED7F17"/>
    <w:pPr>
      <w:spacing w:before="57"/>
    </w:pPr>
  </w:style>
  <w:style w:type="paragraph" w:customStyle="1" w:styleId="62">
    <w:name w:val="Структура 6"/>
    <w:basedOn w:val="53"/>
    <w:rsid w:val="00ED7F17"/>
  </w:style>
  <w:style w:type="paragraph" w:customStyle="1" w:styleId="70">
    <w:name w:val="Структура 7"/>
    <w:basedOn w:val="62"/>
    <w:rsid w:val="00ED7F17"/>
  </w:style>
  <w:style w:type="paragraph" w:customStyle="1" w:styleId="80">
    <w:name w:val="Структура 8"/>
    <w:basedOn w:val="70"/>
    <w:rsid w:val="00ED7F17"/>
  </w:style>
  <w:style w:type="paragraph" w:customStyle="1" w:styleId="90">
    <w:name w:val="Структура 9"/>
    <w:basedOn w:val="80"/>
    <w:rsid w:val="00ED7F17"/>
  </w:style>
  <w:style w:type="paragraph" w:customStyle="1" w:styleId="TitleSlideLTGliederung1">
    <w:name w:val="Title Slide~LT~Gliederung 1"/>
    <w:rsid w:val="00ED7F17"/>
    <w:pPr>
      <w:suppressAutoHyphens/>
      <w:spacing w:before="283"/>
    </w:pPr>
    <w:rPr>
      <w:rFonts w:ascii="Mangal" w:eastAsia="Tahoma" w:hAnsi="Mangal" w:cs="Liberation Sans"/>
      <w:color w:val="000000"/>
      <w:kern w:val="2"/>
      <w:sz w:val="63"/>
      <w:szCs w:val="24"/>
      <w:lang w:eastAsia="zh-CN" w:bidi="hi-IN"/>
    </w:rPr>
  </w:style>
  <w:style w:type="paragraph" w:customStyle="1" w:styleId="TitleSlideLTGliederung2">
    <w:name w:val="Title Slide~LT~Gliederung 2"/>
    <w:basedOn w:val="TitleSlideLTGliederung1"/>
    <w:rsid w:val="00ED7F17"/>
    <w:pPr>
      <w:spacing w:before="227"/>
    </w:pPr>
    <w:rPr>
      <w:rFonts w:cs="Mangal"/>
      <w:sz w:val="56"/>
    </w:rPr>
  </w:style>
  <w:style w:type="paragraph" w:customStyle="1" w:styleId="TitleSlideLTGliederung3">
    <w:name w:val="Title Slide~LT~Gliederung 3"/>
    <w:basedOn w:val="TitleSlideLTGliederung2"/>
    <w:rsid w:val="00ED7F17"/>
    <w:pPr>
      <w:spacing w:before="170"/>
    </w:pPr>
    <w:rPr>
      <w:sz w:val="48"/>
    </w:rPr>
  </w:style>
  <w:style w:type="paragraph" w:customStyle="1" w:styleId="TitleSlideLTGliederung4">
    <w:name w:val="Title Slide~LT~Gliederung 4"/>
    <w:basedOn w:val="TitleSlideLTGliederung3"/>
    <w:rsid w:val="00ED7F17"/>
    <w:pPr>
      <w:spacing w:before="113"/>
    </w:pPr>
    <w:rPr>
      <w:sz w:val="40"/>
    </w:rPr>
  </w:style>
  <w:style w:type="paragraph" w:customStyle="1" w:styleId="TitleSlideLTGliederung5">
    <w:name w:val="Title Slide~LT~Gliederung 5"/>
    <w:basedOn w:val="TitleSlideLTGliederung4"/>
    <w:rsid w:val="00ED7F17"/>
    <w:pPr>
      <w:spacing w:before="57"/>
    </w:pPr>
  </w:style>
  <w:style w:type="paragraph" w:customStyle="1" w:styleId="TitleSlideLTGliederung6">
    <w:name w:val="Title Slide~LT~Gliederung 6"/>
    <w:basedOn w:val="TitleSlideLTGliederung5"/>
    <w:rsid w:val="00ED7F17"/>
  </w:style>
  <w:style w:type="paragraph" w:customStyle="1" w:styleId="TitleSlideLTGliederung7">
    <w:name w:val="Title Slide~LT~Gliederung 7"/>
    <w:basedOn w:val="TitleSlideLTGliederung6"/>
    <w:rsid w:val="00ED7F17"/>
  </w:style>
  <w:style w:type="paragraph" w:customStyle="1" w:styleId="TitleSlideLTGliederung8">
    <w:name w:val="Title Slide~LT~Gliederung 8"/>
    <w:basedOn w:val="TitleSlideLTGliederung7"/>
    <w:rsid w:val="00ED7F17"/>
  </w:style>
  <w:style w:type="paragraph" w:customStyle="1" w:styleId="TitleSlideLTGliederung9">
    <w:name w:val="Title Slide~LT~Gliederung 9"/>
    <w:basedOn w:val="TitleSlideLTGliederung8"/>
    <w:rsid w:val="00ED7F17"/>
  </w:style>
  <w:style w:type="paragraph" w:customStyle="1" w:styleId="TitleSlideLTTitel">
    <w:name w:val="Title Slide~LT~Titel"/>
    <w:rsid w:val="00ED7F17"/>
    <w:pPr>
      <w:suppressAutoHyphens/>
      <w:jc w:val="center"/>
    </w:pPr>
    <w:rPr>
      <w:rFonts w:ascii="Mangal" w:eastAsia="Tahoma" w:hAnsi="Mangal" w:cs="Liberation Sans"/>
      <w:color w:val="000000"/>
      <w:kern w:val="2"/>
      <w:sz w:val="88"/>
      <w:szCs w:val="24"/>
      <w:lang w:eastAsia="zh-CN" w:bidi="hi-IN"/>
    </w:rPr>
  </w:style>
  <w:style w:type="paragraph" w:customStyle="1" w:styleId="TitleSlideLTUntertitel">
    <w:name w:val="Title Slide~LT~Untertitel"/>
    <w:rsid w:val="00ED7F17"/>
    <w:pPr>
      <w:suppressAutoHyphens/>
      <w:jc w:val="center"/>
    </w:pPr>
    <w:rPr>
      <w:rFonts w:ascii="Mangal" w:eastAsia="Tahoma" w:hAnsi="Mangal" w:cs="Liberation Sans"/>
      <w:color w:val="000000"/>
      <w:kern w:val="2"/>
      <w:sz w:val="64"/>
      <w:szCs w:val="24"/>
      <w:lang w:eastAsia="zh-CN" w:bidi="hi-IN"/>
    </w:rPr>
  </w:style>
  <w:style w:type="paragraph" w:customStyle="1" w:styleId="TitleSlideLTNotizen">
    <w:name w:val="Title Slide~LT~Notizen"/>
    <w:rsid w:val="00ED7F17"/>
    <w:pPr>
      <w:suppressAutoHyphens/>
      <w:ind w:left="340" w:hanging="340"/>
    </w:pPr>
    <w:rPr>
      <w:rFonts w:ascii="Mangal" w:eastAsia="Tahoma" w:hAnsi="Mangal" w:cs="Liberation Sans"/>
      <w:color w:val="000000"/>
      <w:kern w:val="2"/>
      <w:sz w:val="40"/>
      <w:szCs w:val="24"/>
      <w:lang w:eastAsia="zh-CN" w:bidi="hi-IN"/>
    </w:rPr>
  </w:style>
  <w:style w:type="paragraph" w:customStyle="1" w:styleId="TitleSlideLTHintergrundobjekte">
    <w:name w:val="Title Slide~LT~Hintergrundobjekte"/>
    <w:rsid w:val="00ED7F17"/>
    <w:pPr>
      <w:suppressAutoHyphens/>
    </w:pPr>
    <w:rPr>
      <w:rFonts w:ascii="Liberation Serif" w:eastAsia="Tahoma" w:hAnsi="Liberation Serif" w:cs="Liberation Sans"/>
      <w:kern w:val="2"/>
      <w:sz w:val="24"/>
      <w:szCs w:val="24"/>
      <w:lang w:eastAsia="zh-CN" w:bidi="hi-IN"/>
    </w:rPr>
  </w:style>
  <w:style w:type="paragraph" w:customStyle="1" w:styleId="TitleSlideLTHintergrund">
    <w:name w:val="Title Slide~LT~Hintergrund"/>
    <w:rsid w:val="00ED7F17"/>
    <w:pPr>
      <w:suppressAutoHyphens/>
    </w:pPr>
    <w:rPr>
      <w:rFonts w:ascii="Liberation Serif" w:eastAsia="Tahoma" w:hAnsi="Liberation Serif" w:cs="Liberation Sans"/>
      <w:kern w:val="2"/>
      <w:sz w:val="24"/>
      <w:szCs w:val="24"/>
      <w:lang w:eastAsia="zh-CN" w:bidi="hi-IN"/>
    </w:rPr>
  </w:style>
  <w:style w:type="paragraph" w:customStyle="1" w:styleId="LTGliederung1">
    <w:name w:val="Обычный~LT~Gliederung 1"/>
    <w:rsid w:val="00ED7F17"/>
    <w:pPr>
      <w:suppressAutoHyphens/>
      <w:spacing w:before="283"/>
    </w:pPr>
    <w:rPr>
      <w:rFonts w:ascii="Mangal" w:eastAsia="Tahoma" w:hAnsi="Mangal" w:cs="Liberation Sans"/>
      <w:color w:val="000000"/>
      <w:kern w:val="2"/>
      <w:sz w:val="63"/>
      <w:szCs w:val="24"/>
      <w:lang w:eastAsia="zh-CN" w:bidi="hi-IN"/>
    </w:rPr>
  </w:style>
  <w:style w:type="paragraph" w:customStyle="1" w:styleId="LTGliederung2">
    <w:name w:val="Обычный~LT~Gliederung 2"/>
    <w:basedOn w:val="LTGliederung1"/>
    <w:rsid w:val="00ED7F17"/>
    <w:pPr>
      <w:spacing w:before="227"/>
    </w:pPr>
    <w:rPr>
      <w:rFonts w:cs="Mangal"/>
      <w:sz w:val="56"/>
    </w:rPr>
  </w:style>
  <w:style w:type="paragraph" w:customStyle="1" w:styleId="LTGliederung3">
    <w:name w:val="Обычный~LT~Gliederung 3"/>
    <w:basedOn w:val="LTGliederung2"/>
    <w:rsid w:val="00ED7F17"/>
    <w:pPr>
      <w:spacing w:before="170"/>
    </w:pPr>
    <w:rPr>
      <w:sz w:val="48"/>
    </w:rPr>
  </w:style>
  <w:style w:type="paragraph" w:customStyle="1" w:styleId="LTGliederung4">
    <w:name w:val="Обычный~LT~Gliederung 4"/>
    <w:basedOn w:val="LTGliederung3"/>
    <w:rsid w:val="00ED7F17"/>
    <w:pPr>
      <w:spacing w:before="113"/>
    </w:pPr>
    <w:rPr>
      <w:sz w:val="40"/>
    </w:rPr>
  </w:style>
  <w:style w:type="paragraph" w:customStyle="1" w:styleId="LTGliederung5">
    <w:name w:val="Обычный~LT~Gliederung 5"/>
    <w:basedOn w:val="LTGliederung4"/>
    <w:rsid w:val="00ED7F17"/>
    <w:pPr>
      <w:spacing w:before="57"/>
    </w:pPr>
  </w:style>
  <w:style w:type="paragraph" w:customStyle="1" w:styleId="LTGliederung6">
    <w:name w:val="Обычный~LT~Gliederung 6"/>
    <w:basedOn w:val="LTGliederung5"/>
    <w:rsid w:val="00ED7F17"/>
  </w:style>
  <w:style w:type="paragraph" w:customStyle="1" w:styleId="LTGliederung7">
    <w:name w:val="Обычный~LT~Gliederung 7"/>
    <w:basedOn w:val="LTGliederung6"/>
    <w:rsid w:val="00ED7F17"/>
  </w:style>
  <w:style w:type="paragraph" w:customStyle="1" w:styleId="LTGliederung8">
    <w:name w:val="Обычный~LT~Gliederung 8"/>
    <w:basedOn w:val="LTGliederung7"/>
    <w:rsid w:val="00ED7F17"/>
  </w:style>
  <w:style w:type="paragraph" w:customStyle="1" w:styleId="LTGliederung9">
    <w:name w:val="Обычный~LT~Gliederung 9"/>
    <w:basedOn w:val="LTGliederung8"/>
    <w:rsid w:val="00ED7F17"/>
  </w:style>
  <w:style w:type="paragraph" w:customStyle="1" w:styleId="LTTitel">
    <w:name w:val="Обычный~LT~Titel"/>
    <w:rsid w:val="00ED7F17"/>
    <w:pPr>
      <w:suppressAutoHyphens/>
      <w:jc w:val="center"/>
    </w:pPr>
    <w:rPr>
      <w:rFonts w:ascii="Mangal" w:eastAsia="Tahoma" w:hAnsi="Mangal" w:cs="Liberation Sans"/>
      <w:color w:val="000000"/>
      <w:kern w:val="2"/>
      <w:sz w:val="88"/>
      <w:szCs w:val="24"/>
      <w:lang w:eastAsia="zh-CN" w:bidi="hi-IN"/>
    </w:rPr>
  </w:style>
  <w:style w:type="paragraph" w:customStyle="1" w:styleId="LTUntertitel">
    <w:name w:val="Обычный~LT~Untertitel"/>
    <w:rsid w:val="00ED7F17"/>
    <w:pPr>
      <w:suppressAutoHyphens/>
      <w:jc w:val="center"/>
    </w:pPr>
    <w:rPr>
      <w:rFonts w:ascii="Mangal" w:eastAsia="Tahoma" w:hAnsi="Mangal" w:cs="Liberation Sans"/>
      <w:color w:val="000000"/>
      <w:kern w:val="2"/>
      <w:sz w:val="64"/>
      <w:szCs w:val="24"/>
      <w:lang w:eastAsia="zh-CN" w:bidi="hi-IN"/>
    </w:rPr>
  </w:style>
  <w:style w:type="paragraph" w:customStyle="1" w:styleId="LTNotizen">
    <w:name w:val="Обычный~LT~Notizen"/>
    <w:rsid w:val="00ED7F17"/>
    <w:pPr>
      <w:suppressAutoHyphens/>
      <w:ind w:left="340" w:hanging="340"/>
    </w:pPr>
    <w:rPr>
      <w:rFonts w:ascii="Mangal" w:eastAsia="Tahoma" w:hAnsi="Mangal" w:cs="Liberation Sans"/>
      <w:color w:val="000000"/>
      <w:kern w:val="2"/>
      <w:sz w:val="40"/>
      <w:szCs w:val="24"/>
      <w:lang w:eastAsia="zh-CN" w:bidi="hi-IN"/>
    </w:rPr>
  </w:style>
  <w:style w:type="paragraph" w:customStyle="1" w:styleId="LTHintergrundobjekte">
    <w:name w:val="Обычный~LT~Hintergrundobjekte"/>
    <w:rsid w:val="00ED7F17"/>
    <w:pPr>
      <w:suppressAutoHyphens/>
    </w:pPr>
    <w:rPr>
      <w:rFonts w:ascii="Liberation Serif" w:eastAsia="Tahoma" w:hAnsi="Liberation Serif" w:cs="Liberation Sans"/>
      <w:kern w:val="2"/>
      <w:sz w:val="24"/>
      <w:szCs w:val="24"/>
      <w:lang w:eastAsia="zh-CN" w:bidi="hi-IN"/>
    </w:rPr>
  </w:style>
  <w:style w:type="paragraph" w:customStyle="1" w:styleId="LTHintergrund">
    <w:name w:val="Обычный~LT~Hintergrund"/>
    <w:rsid w:val="00ED7F17"/>
    <w:pPr>
      <w:suppressAutoHyphens/>
    </w:pPr>
    <w:rPr>
      <w:rFonts w:ascii="Liberation Serif" w:eastAsia="Tahoma" w:hAnsi="Liberation Serif" w:cs="Liberation Sans"/>
      <w:kern w:val="2"/>
      <w:sz w:val="24"/>
      <w:szCs w:val="24"/>
      <w:lang w:eastAsia="zh-CN" w:bidi="hi-IN"/>
    </w:rPr>
  </w:style>
  <w:style w:type="paragraph" w:customStyle="1" w:styleId="2f">
    <w:name w:val="Абзац списка2"/>
    <w:basedOn w:val="a"/>
    <w:rsid w:val="00ED7F17"/>
    <w:pPr>
      <w:overflowPunct/>
      <w:spacing w:after="160" w:line="252" w:lineRule="auto"/>
      <w:ind w:left="720"/>
      <w:contextualSpacing/>
    </w:pPr>
    <w:rPr>
      <w:rFonts w:ascii="Calibri" w:eastAsia="Calibri" w:hAnsi="Calibri"/>
      <w:sz w:val="22"/>
      <w:szCs w:val="22"/>
    </w:rPr>
  </w:style>
  <w:style w:type="paragraph" w:customStyle="1" w:styleId="1f">
    <w:name w:val="Без интервала1"/>
    <w:rsid w:val="00ED7F17"/>
    <w:pPr>
      <w:suppressAutoHyphens/>
      <w:spacing w:line="276" w:lineRule="auto"/>
    </w:pPr>
    <w:rPr>
      <w:rFonts w:eastAsia="Times New Roman" w:cs="Calibri"/>
      <w:sz w:val="24"/>
      <w:szCs w:val="24"/>
      <w:lang w:eastAsia="zh-CN" w:bidi="hi-IN"/>
    </w:rPr>
  </w:style>
  <w:style w:type="paragraph" w:customStyle="1" w:styleId="Standard">
    <w:name w:val="Standard"/>
    <w:qFormat/>
    <w:rsid w:val="00ED7F17"/>
    <w:pPr>
      <w:widowControl w:val="0"/>
      <w:suppressAutoHyphens/>
    </w:pPr>
    <w:rPr>
      <w:rFonts w:ascii="Times New Roman" w:eastAsia="Andale Sans UI" w:hAnsi="Times New Roman"/>
      <w:kern w:val="2"/>
      <w:sz w:val="24"/>
      <w:szCs w:val="24"/>
      <w:lang w:eastAsia="zh-CN"/>
    </w:rPr>
  </w:style>
  <w:style w:type="paragraph" w:customStyle="1" w:styleId="Textbody">
    <w:name w:val="Text body"/>
    <w:basedOn w:val="Standard"/>
    <w:qFormat/>
    <w:rsid w:val="00ED7F17"/>
    <w:pPr>
      <w:spacing w:after="120"/>
    </w:pPr>
  </w:style>
  <w:style w:type="paragraph" w:customStyle="1" w:styleId="2f0">
    <w:name w:val="Текст примечания2"/>
    <w:basedOn w:val="a"/>
    <w:rsid w:val="00ED7F17"/>
    <w:pPr>
      <w:suppressAutoHyphens w:val="0"/>
      <w:overflowPunct/>
      <w:jc w:val="both"/>
    </w:pPr>
    <w:rPr>
      <w:rFonts w:eastAsia="Calibri"/>
      <w:color w:val="auto"/>
      <w:sz w:val="20"/>
      <w:szCs w:val="20"/>
    </w:rPr>
  </w:style>
  <w:style w:type="paragraph" w:customStyle="1" w:styleId="2f1">
    <w:name w:val="Абзац списка2"/>
    <w:basedOn w:val="a"/>
    <w:rsid w:val="00ED7F17"/>
    <w:pPr>
      <w:overflowPunct/>
      <w:spacing w:after="160" w:line="252" w:lineRule="auto"/>
      <w:ind w:left="720"/>
      <w:contextualSpacing/>
    </w:pPr>
    <w:rPr>
      <w:rFonts w:ascii="Calibri" w:eastAsia="Calibri" w:hAnsi="Calibri" w:cs="font200"/>
      <w:sz w:val="22"/>
      <w:szCs w:val="22"/>
    </w:rPr>
  </w:style>
  <w:style w:type="paragraph" w:customStyle="1" w:styleId="1f0">
    <w:name w:val="Без интервала1"/>
    <w:rsid w:val="00ED7F17"/>
    <w:pPr>
      <w:suppressAutoHyphens/>
      <w:spacing w:line="276" w:lineRule="auto"/>
    </w:pPr>
    <w:rPr>
      <w:rFonts w:eastAsia="Times New Roman" w:cs="Calibri"/>
      <w:sz w:val="24"/>
      <w:szCs w:val="24"/>
      <w:lang w:eastAsia="zh-CN" w:bidi="hi-IN"/>
    </w:rPr>
  </w:style>
  <w:style w:type="character" w:customStyle="1" w:styleId="WW8Num1z0">
    <w:name w:val="WW8Num1z0"/>
    <w:rsid w:val="00ED7F17"/>
  </w:style>
  <w:style w:type="character" w:customStyle="1" w:styleId="WW8Num1z1">
    <w:name w:val="WW8Num1z1"/>
    <w:rsid w:val="00ED7F17"/>
  </w:style>
  <w:style w:type="character" w:customStyle="1" w:styleId="WW8Num1z2">
    <w:name w:val="WW8Num1z2"/>
    <w:rsid w:val="00ED7F17"/>
  </w:style>
  <w:style w:type="character" w:customStyle="1" w:styleId="WW8Num1z3">
    <w:name w:val="WW8Num1z3"/>
    <w:rsid w:val="00ED7F17"/>
  </w:style>
  <w:style w:type="character" w:customStyle="1" w:styleId="WW8Num1z4">
    <w:name w:val="WW8Num1z4"/>
    <w:rsid w:val="00ED7F17"/>
  </w:style>
  <w:style w:type="character" w:customStyle="1" w:styleId="WW8Num1z5">
    <w:name w:val="WW8Num1z5"/>
    <w:rsid w:val="00ED7F17"/>
  </w:style>
  <w:style w:type="character" w:customStyle="1" w:styleId="WW8Num1z6">
    <w:name w:val="WW8Num1z6"/>
    <w:rsid w:val="00ED7F17"/>
  </w:style>
  <w:style w:type="character" w:customStyle="1" w:styleId="WW8Num1z7">
    <w:name w:val="WW8Num1z7"/>
    <w:rsid w:val="00ED7F17"/>
  </w:style>
  <w:style w:type="character" w:customStyle="1" w:styleId="WW8Num1z8">
    <w:name w:val="WW8Num1z8"/>
    <w:rsid w:val="00ED7F17"/>
  </w:style>
  <w:style w:type="character" w:customStyle="1" w:styleId="WW8Num2z0">
    <w:name w:val="WW8Num2z0"/>
    <w:rsid w:val="00ED7F17"/>
  </w:style>
  <w:style w:type="character" w:customStyle="1" w:styleId="WW8Num2z1">
    <w:name w:val="WW8Num2z1"/>
    <w:rsid w:val="00ED7F17"/>
  </w:style>
  <w:style w:type="character" w:customStyle="1" w:styleId="WW8Num2z2">
    <w:name w:val="WW8Num2z2"/>
    <w:rsid w:val="00ED7F17"/>
  </w:style>
  <w:style w:type="character" w:customStyle="1" w:styleId="WW8Num2z3">
    <w:name w:val="WW8Num2z3"/>
    <w:rsid w:val="00ED7F17"/>
  </w:style>
  <w:style w:type="character" w:customStyle="1" w:styleId="WW8Num2z4">
    <w:name w:val="WW8Num2z4"/>
    <w:rsid w:val="00ED7F17"/>
  </w:style>
  <w:style w:type="character" w:customStyle="1" w:styleId="WW8Num2z5">
    <w:name w:val="WW8Num2z5"/>
    <w:rsid w:val="00ED7F17"/>
  </w:style>
  <w:style w:type="character" w:customStyle="1" w:styleId="WW8Num2z6">
    <w:name w:val="WW8Num2z6"/>
    <w:rsid w:val="00ED7F17"/>
  </w:style>
  <w:style w:type="character" w:customStyle="1" w:styleId="WW8Num2z7">
    <w:name w:val="WW8Num2z7"/>
    <w:rsid w:val="00ED7F17"/>
  </w:style>
  <w:style w:type="character" w:customStyle="1" w:styleId="WW8Num2z8">
    <w:name w:val="WW8Num2z8"/>
    <w:rsid w:val="00ED7F17"/>
  </w:style>
  <w:style w:type="character" w:customStyle="1" w:styleId="WW8Num3z0">
    <w:name w:val="WW8Num3z0"/>
    <w:rsid w:val="00ED7F17"/>
  </w:style>
  <w:style w:type="character" w:customStyle="1" w:styleId="WW8Num3z1">
    <w:name w:val="WW8Num3z1"/>
    <w:rsid w:val="00ED7F17"/>
  </w:style>
  <w:style w:type="character" w:customStyle="1" w:styleId="WW8Num3z2">
    <w:name w:val="WW8Num3z2"/>
    <w:rsid w:val="00ED7F17"/>
  </w:style>
  <w:style w:type="character" w:customStyle="1" w:styleId="WW8Num3z3">
    <w:name w:val="WW8Num3z3"/>
    <w:rsid w:val="00ED7F17"/>
  </w:style>
  <w:style w:type="character" w:customStyle="1" w:styleId="WW8Num3z4">
    <w:name w:val="WW8Num3z4"/>
    <w:rsid w:val="00ED7F17"/>
  </w:style>
  <w:style w:type="character" w:customStyle="1" w:styleId="WW8Num3z5">
    <w:name w:val="WW8Num3z5"/>
    <w:rsid w:val="00ED7F17"/>
  </w:style>
  <w:style w:type="character" w:customStyle="1" w:styleId="WW8Num3z6">
    <w:name w:val="WW8Num3z6"/>
    <w:rsid w:val="00ED7F17"/>
  </w:style>
  <w:style w:type="character" w:customStyle="1" w:styleId="WW8Num3z7">
    <w:name w:val="WW8Num3z7"/>
    <w:rsid w:val="00ED7F17"/>
  </w:style>
  <w:style w:type="character" w:customStyle="1" w:styleId="WW8Num3z8">
    <w:name w:val="WW8Num3z8"/>
    <w:rsid w:val="00ED7F17"/>
  </w:style>
  <w:style w:type="character" w:customStyle="1" w:styleId="WW8Num4z0">
    <w:name w:val="WW8Num4z0"/>
    <w:rsid w:val="00ED7F17"/>
    <w:rPr>
      <w:rFonts w:ascii="Symbol" w:hAnsi="Symbol" w:cs="Symbol" w:hint="default"/>
      <w:b/>
      <w:bCs w:val="0"/>
      <w:sz w:val="24"/>
      <w:szCs w:val="16"/>
    </w:rPr>
  </w:style>
  <w:style w:type="character" w:customStyle="1" w:styleId="WW8Num4z1">
    <w:name w:val="WW8Num4z1"/>
    <w:rsid w:val="00ED7F17"/>
    <w:rPr>
      <w:rFonts w:ascii="Times New Roman" w:hAnsi="Times New Roman" w:cs="Times New Roman" w:hint="default"/>
    </w:rPr>
  </w:style>
  <w:style w:type="character" w:customStyle="1" w:styleId="WW8Num4z2">
    <w:name w:val="WW8Num4z2"/>
    <w:rsid w:val="00ED7F17"/>
    <w:rPr>
      <w:rFonts w:ascii="Wingdings" w:hAnsi="Wingdings" w:cs="Wingdings" w:hint="default"/>
    </w:rPr>
  </w:style>
  <w:style w:type="character" w:customStyle="1" w:styleId="WW8Num4z3">
    <w:name w:val="WW8Num4z3"/>
    <w:rsid w:val="00ED7F17"/>
    <w:rPr>
      <w:rFonts w:ascii="Symbol" w:hAnsi="Symbol" w:cs="Symbol" w:hint="default"/>
    </w:rPr>
  </w:style>
  <w:style w:type="character" w:customStyle="1" w:styleId="WW8Num4z4">
    <w:name w:val="WW8Num4z4"/>
    <w:rsid w:val="00ED7F17"/>
    <w:rPr>
      <w:rFonts w:ascii="Courier New" w:hAnsi="Courier New" w:cs="Courier New" w:hint="default"/>
    </w:rPr>
  </w:style>
  <w:style w:type="character" w:customStyle="1" w:styleId="WW8Num5z0">
    <w:name w:val="WW8Num5z0"/>
    <w:rsid w:val="00ED7F17"/>
  </w:style>
  <w:style w:type="character" w:customStyle="1" w:styleId="WW8Num5z1">
    <w:name w:val="WW8Num5z1"/>
    <w:rsid w:val="00ED7F17"/>
  </w:style>
  <w:style w:type="character" w:customStyle="1" w:styleId="WW8Num5z2">
    <w:name w:val="WW8Num5z2"/>
    <w:rsid w:val="00ED7F17"/>
  </w:style>
  <w:style w:type="character" w:customStyle="1" w:styleId="WW8Num5z3">
    <w:name w:val="WW8Num5z3"/>
    <w:rsid w:val="00ED7F17"/>
  </w:style>
  <w:style w:type="character" w:customStyle="1" w:styleId="WW8Num5z4">
    <w:name w:val="WW8Num5z4"/>
    <w:rsid w:val="00ED7F17"/>
  </w:style>
  <w:style w:type="character" w:customStyle="1" w:styleId="WW8Num5z5">
    <w:name w:val="WW8Num5z5"/>
    <w:rsid w:val="00ED7F17"/>
  </w:style>
  <w:style w:type="character" w:customStyle="1" w:styleId="WW8Num5z6">
    <w:name w:val="WW8Num5z6"/>
    <w:rsid w:val="00ED7F17"/>
  </w:style>
  <w:style w:type="character" w:customStyle="1" w:styleId="WW8Num5z7">
    <w:name w:val="WW8Num5z7"/>
    <w:rsid w:val="00ED7F17"/>
  </w:style>
  <w:style w:type="character" w:customStyle="1" w:styleId="WW8Num5z8">
    <w:name w:val="WW8Num5z8"/>
    <w:rsid w:val="00ED7F17"/>
  </w:style>
  <w:style w:type="character" w:customStyle="1" w:styleId="WW8Num6z0">
    <w:name w:val="WW8Num6z0"/>
    <w:rsid w:val="00ED7F17"/>
    <w:rPr>
      <w:rFonts w:ascii="Times New Roman" w:eastAsia="Calibri" w:hAnsi="Times New Roman" w:cs="Times New Roman" w:hint="default"/>
      <w:iCs/>
      <w:sz w:val="24"/>
      <w:szCs w:val="24"/>
    </w:rPr>
  </w:style>
  <w:style w:type="character" w:customStyle="1" w:styleId="WW8Num7z0">
    <w:name w:val="WW8Num7z0"/>
    <w:rsid w:val="00ED7F17"/>
    <w:rPr>
      <w:rFonts w:ascii="Symbol" w:hAnsi="Symbol" w:cs="Symbol" w:hint="default"/>
      <w:sz w:val="16"/>
      <w:szCs w:val="16"/>
    </w:rPr>
  </w:style>
  <w:style w:type="character" w:customStyle="1" w:styleId="WW8Num4z5">
    <w:name w:val="WW8Num4z5"/>
    <w:rsid w:val="00ED7F17"/>
  </w:style>
  <w:style w:type="character" w:customStyle="1" w:styleId="WW8Num4z6">
    <w:name w:val="WW8Num4z6"/>
    <w:rsid w:val="00ED7F17"/>
  </w:style>
  <w:style w:type="character" w:customStyle="1" w:styleId="WW8Num4z7">
    <w:name w:val="WW8Num4z7"/>
    <w:rsid w:val="00ED7F17"/>
  </w:style>
  <w:style w:type="character" w:customStyle="1" w:styleId="WW8Num4z8">
    <w:name w:val="WW8Num4z8"/>
    <w:rsid w:val="00ED7F17"/>
  </w:style>
  <w:style w:type="character" w:customStyle="1" w:styleId="WW8Num6z1">
    <w:name w:val="WW8Num6z1"/>
    <w:rsid w:val="00ED7F17"/>
    <w:rPr>
      <w:rFonts w:ascii="Times New Roman" w:hAnsi="Times New Roman" w:cs="Times New Roman" w:hint="default"/>
    </w:rPr>
  </w:style>
  <w:style w:type="character" w:customStyle="1" w:styleId="WW8Num6z2">
    <w:name w:val="WW8Num6z2"/>
    <w:rsid w:val="00ED7F17"/>
    <w:rPr>
      <w:rFonts w:ascii="Wingdings" w:hAnsi="Wingdings" w:cs="Wingdings" w:hint="default"/>
    </w:rPr>
  </w:style>
  <w:style w:type="character" w:customStyle="1" w:styleId="WW8Num6z3">
    <w:name w:val="WW8Num6z3"/>
    <w:rsid w:val="00ED7F17"/>
    <w:rPr>
      <w:rFonts w:ascii="Symbol" w:hAnsi="Symbol" w:cs="Symbol" w:hint="default"/>
    </w:rPr>
  </w:style>
  <w:style w:type="character" w:customStyle="1" w:styleId="WW8Num6z4">
    <w:name w:val="WW8Num6z4"/>
    <w:rsid w:val="00ED7F17"/>
    <w:rPr>
      <w:rFonts w:ascii="Courier New" w:hAnsi="Courier New" w:cs="Courier New" w:hint="default"/>
    </w:rPr>
  </w:style>
  <w:style w:type="character" w:customStyle="1" w:styleId="WW8Num7z1">
    <w:name w:val="WW8Num7z1"/>
    <w:rsid w:val="00ED7F17"/>
  </w:style>
  <w:style w:type="character" w:customStyle="1" w:styleId="WW8Num7z2">
    <w:name w:val="WW8Num7z2"/>
    <w:rsid w:val="00ED7F17"/>
  </w:style>
  <w:style w:type="character" w:customStyle="1" w:styleId="WW8Num7z3">
    <w:name w:val="WW8Num7z3"/>
    <w:rsid w:val="00ED7F17"/>
  </w:style>
  <w:style w:type="character" w:customStyle="1" w:styleId="WW8Num7z4">
    <w:name w:val="WW8Num7z4"/>
    <w:rsid w:val="00ED7F17"/>
  </w:style>
  <w:style w:type="character" w:customStyle="1" w:styleId="WW8Num7z5">
    <w:name w:val="WW8Num7z5"/>
    <w:rsid w:val="00ED7F17"/>
  </w:style>
  <w:style w:type="character" w:customStyle="1" w:styleId="WW8Num7z6">
    <w:name w:val="WW8Num7z6"/>
    <w:rsid w:val="00ED7F17"/>
  </w:style>
  <w:style w:type="character" w:customStyle="1" w:styleId="WW8Num7z7">
    <w:name w:val="WW8Num7z7"/>
    <w:rsid w:val="00ED7F17"/>
  </w:style>
  <w:style w:type="character" w:customStyle="1" w:styleId="WW8Num7z8">
    <w:name w:val="WW8Num7z8"/>
    <w:rsid w:val="00ED7F17"/>
  </w:style>
  <w:style w:type="character" w:customStyle="1" w:styleId="WW8Num8z0">
    <w:name w:val="WW8Num8z0"/>
    <w:rsid w:val="00ED7F17"/>
  </w:style>
  <w:style w:type="character" w:customStyle="1" w:styleId="WW8Num8z1">
    <w:name w:val="WW8Num8z1"/>
    <w:rsid w:val="00ED7F17"/>
  </w:style>
  <w:style w:type="character" w:customStyle="1" w:styleId="WW8Num8z2">
    <w:name w:val="WW8Num8z2"/>
    <w:rsid w:val="00ED7F17"/>
  </w:style>
  <w:style w:type="character" w:customStyle="1" w:styleId="WW8Num8z3">
    <w:name w:val="WW8Num8z3"/>
    <w:rsid w:val="00ED7F17"/>
  </w:style>
  <w:style w:type="character" w:customStyle="1" w:styleId="WW8Num8z4">
    <w:name w:val="WW8Num8z4"/>
    <w:rsid w:val="00ED7F17"/>
  </w:style>
  <w:style w:type="character" w:customStyle="1" w:styleId="WW8Num8z5">
    <w:name w:val="WW8Num8z5"/>
    <w:rsid w:val="00ED7F17"/>
  </w:style>
  <w:style w:type="character" w:customStyle="1" w:styleId="WW8Num8z6">
    <w:name w:val="WW8Num8z6"/>
    <w:rsid w:val="00ED7F17"/>
  </w:style>
  <w:style w:type="character" w:customStyle="1" w:styleId="WW8Num8z7">
    <w:name w:val="WW8Num8z7"/>
    <w:rsid w:val="00ED7F17"/>
  </w:style>
  <w:style w:type="character" w:customStyle="1" w:styleId="WW8Num8z8">
    <w:name w:val="WW8Num8z8"/>
    <w:rsid w:val="00ED7F17"/>
  </w:style>
  <w:style w:type="character" w:customStyle="1" w:styleId="WW8Num9z0">
    <w:name w:val="WW8Num9z0"/>
    <w:rsid w:val="00ED7F17"/>
    <w:rPr>
      <w:rFonts w:ascii="OpenSymbol" w:eastAsia="OpenSymbol" w:hAnsi="OpenSymbol" w:cs="OpenSymbol" w:hint="default"/>
    </w:rPr>
  </w:style>
  <w:style w:type="character" w:customStyle="1" w:styleId="WW8Num10z0">
    <w:name w:val="WW8Num10z0"/>
    <w:rsid w:val="00ED7F17"/>
  </w:style>
  <w:style w:type="character" w:customStyle="1" w:styleId="WW8Num11z0">
    <w:name w:val="WW8Num11z0"/>
    <w:rsid w:val="00ED7F17"/>
    <w:rPr>
      <w:rFonts w:ascii="Times New Roman" w:eastAsia="Calibri" w:hAnsi="Times New Roman" w:cs="Times New Roman" w:hint="default"/>
      <w:iCs/>
      <w:sz w:val="24"/>
      <w:szCs w:val="24"/>
    </w:rPr>
  </w:style>
  <w:style w:type="character" w:customStyle="1" w:styleId="WW8Num12z0">
    <w:name w:val="WW8Num12z0"/>
    <w:rsid w:val="00ED7F17"/>
  </w:style>
  <w:style w:type="character" w:customStyle="1" w:styleId="WW8Num12z1">
    <w:name w:val="WW8Num12z1"/>
    <w:rsid w:val="00ED7F17"/>
  </w:style>
  <w:style w:type="character" w:customStyle="1" w:styleId="WW8Num12z2">
    <w:name w:val="WW8Num12z2"/>
    <w:rsid w:val="00ED7F17"/>
  </w:style>
  <w:style w:type="character" w:customStyle="1" w:styleId="WW8Num12z3">
    <w:name w:val="WW8Num12z3"/>
    <w:rsid w:val="00ED7F17"/>
  </w:style>
  <w:style w:type="character" w:customStyle="1" w:styleId="WW8Num12z4">
    <w:name w:val="WW8Num12z4"/>
    <w:rsid w:val="00ED7F17"/>
  </w:style>
  <w:style w:type="character" w:customStyle="1" w:styleId="WW8Num12z5">
    <w:name w:val="WW8Num12z5"/>
    <w:rsid w:val="00ED7F17"/>
  </w:style>
  <w:style w:type="character" w:customStyle="1" w:styleId="WW8Num12z6">
    <w:name w:val="WW8Num12z6"/>
    <w:rsid w:val="00ED7F17"/>
  </w:style>
  <w:style w:type="character" w:customStyle="1" w:styleId="WW8Num12z7">
    <w:name w:val="WW8Num12z7"/>
    <w:rsid w:val="00ED7F17"/>
  </w:style>
  <w:style w:type="character" w:customStyle="1" w:styleId="WW8Num12z8">
    <w:name w:val="WW8Num12z8"/>
    <w:rsid w:val="00ED7F17"/>
  </w:style>
  <w:style w:type="character" w:customStyle="1" w:styleId="WW8Num13z0">
    <w:name w:val="WW8Num13z0"/>
    <w:rsid w:val="00ED7F17"/>
    <w:rPr>
      <w:rFonts w:ascii="Times New Roman" w:eastAsia="Calibri" w:hAnsi="Times New Roman" w:cs="Times New Roman" w:hint="default"/>
      <w:sz w:val="24"/>
    </w:rPr>
  </w:style>
  <w:style w:type="character" w:customStyle="1" w:styleId="WW8Num13z1">
    <w:name w:val="WW8Num13z1"/>
    <w:rsid w:val="00ED7F17"/>
  </w:style>
  <w:style w:type="character" w:customStyle="1" w:styleId="WW8Num13z2">
    <w:name w:val="WW8Num13z2"/>
    <w:rsid w:val="00ED7F17"/>
  </w:style>
  <w:style w:type="character" w:customStyle="1" w:styleId="WW8Num13z3">
    <w:name w:val="WW8Num13z3"/>
    <w:rsid w:val="00ED7F17"/>
  </w:style>
  <w:style w:type="character" w:customStyle="1" w:styleId="WW8Num13z4">
    <w:name w:val="WW8Num13z4"/>
    <w:rsid w:val="00ED7F17"/>
  </w:style>
  <w:style w:type="character" w:customStyle="1" w:styleId="WW8Num13z5">
    <w:name w:val="WW8Num13z5"/>
    <w:rsid w:val="00ED7F17"/>
  </w:style>
  <w:style w:type="character" w:customStyle="1" w:styleId="WW8Num13z6">
    <w:name w:val="WW8Num13z6"/>
    <w:rsid w:val="00ED7F17"/>
  </w:style>
  <w:style w:type="character" w:customStyle="1" w:styleId="WW8Num13z7">
    <w:name w:val="WW8Num13z7"/>
    <w:rsid w:val="00ED7F17"/>
  </w:style>
  <w:style w:type="character" w:customStyle="1" w:styleId="WW8Num13z8">
    <w:name w:val="WW8Num13z8"/>
    <w:rsid w:val="00ED7F17"/>
  </w:style>
  <w:style w:type="character" w:customStyle="1" w:styleId="WW8Num14z0">
    <w:name w:val="WW8Num14z0"/>
    <w:rsid w:val="00ED7F17"/>
    <w:rPr>
      <w:rFonts w:ascii="Times New Roman" w:hAnsi="Times New Roman" w:cs="Times New Roman" w:hint="default"/>
      <w:b/>
      <w:bCs w:val="0"/>
      <w:sz w:val="24"/>
    </w:rPr>
  </w:style>
  <w:style w:type="character" w:customStyle="1" w:styleId="WW8Num15z0">
    <w:name w:val="WW8Num15z0"/>
    <w:rsid w:val="00ED7F17"/>
    <w:rPr>
      <w:rFonts w:ascii="Times New Roman" w:eastAsia="Calibri" w:hAnsi="Times New Roman" w:cs="Times New Roman" w:hint="default"/>
      <w:sz w:val="24"/>
    </w:rPr>
  </w:style>
  <w:style w:type="character" w:customStyle="1" w:styleId="WW8Num15z1">
    <w:name w:val="WW8Num15z1"/>
    <w:rsid w:val="00ED7F17"/>
  </w:style>
  <w:style w:type="character" w:customStyle="1" w:styleId="WW8Num15z2">
    <w:name w:val="WW8Num15z2"/>
    <w:rsid w:val="00ED7F17"/>
  </w:style>
  <w:style w:type="character" w:customStyle="1" w:styleId="WW8Num15z3">
    <w:name w:val="WW8Num15z3"/>
    <w:rsid w:val="00ED7F17"/>
  </w:style>
  <w:style w:type="character" w:customStyle="1" w:styleId="WW8Num15z4">
    <w:name w:val="WW8Num15z4"/>
    <w:rsid w:val="00ED7F17"/>
  </w:style>
  <w:style w:type="character" w:customStyle="1" w:styleId="WW8Num15z5">
    <w:name w:val="WW8Num15z5"/>
    <w:rsid w:val="00ED7F17"/>
  </w:style>
  <w:style w:type="character" w:customStyle="1" w:styleId="WW8Num15z6">
    <w:name w:val="WW8Num15z6"/>
    <w:rsid w:val="00ED7F17"/>
  </w:style>
  <w:style w:type="character" w:customStyle="1" w:styleId="WW8Num15z7">
    <w:name w:val="WW8Num15z7"/>
    <w:rsid w:val="00ED7F17"/>
  </w:style>
  <w:style w:type="character" w:customStyle="1" w:styleId="WW8Num15z8">
    <w:name w:val="WW8Num15z8"/>
    <w:rsid w:val="00ED7F17"/>
  </w:style>
  <w:style w:type="character" w:customStyle="1" w:styleId="WW8Num16z0">
    <w:name w:val="WW8Num16z0"/>
    <w:rsid w:val="00ED7F17"/>
    <w:rPr>
      <w:rFonts w:ascii="Symbol" w:hAnsi="Symbol" w:cs="Symbol" w:hint="default"/>
      <w:sz w:val="16"/>
      <w:szCs w:val="16"/>
    </w:rPr>
  </w:style>
  <w:style w:type="character" w:customStyle="1" w:styleId="WW8Num16z1">
    <w:name w:val="WW8Num16z1"/>
    <w:rsid w:val="00ED7F17"/>
    <w:rPr>
      <w:rFonts w:ascii="Courier New" w:hAnsi="Courier New" w:cs="Courier New" w:hint="default"/>
    </w:rPr>
  </w:style>
  <w:style w:type="character" w:customStyle="1" w:styleId="WW8Num16z2">
    <w:name w:val="WW8Num16z2"/>
    <w:rsid w:val="00ED7F17"/>
    <w:rPr>
      <w:rFonts w:ascii="Wingdings" w:hAnsi="Wingdings" w:cs="Wingdings" w:hint="default"/>
    </w:rPr>
  </w:style>
  <w:style w:type="character" w:customStyle="1" w:styleId="WW8Num16z3">
    <w:name w:val="WW8Num16z3"/>
    <w:rsid w:val="00ED7F17"/>
    <w:rPr>
      <w:rFonts w:ascii="Symbol" w:hAnsi="Symbol" w:cs="Symbol" w:hint="default"/>
    </w:rPr>
  </w:style>
  <w:style w:type="character" w:customStyle="1" w:styleId="WW8Num17z0">
    <w:name w:val="WW8Num17z0"/>
    <w:rsid w:val="00ED7F17"/>
    <w:rPr>
      <w:rFonts w:ascii="OpenSymbol" w:eastAsia="OpenSymbol" w:hAnsi="OpenSymbol" w:cs="OpenSymbol" w:hint="default"/>
    </w:rPr>
  </w:style>
  <w:style w:type="character" w:customStyle="1" w:styleId="44">
    <w:name w:val="Основной шрифт абзаца4"/>
    <w:rsid w:val="00ED7F17"/>
  </w:style>
  <w:style w:type="character" w:customStyle="1" w:styleId="36">
    <w:name w:val="Основной шрифт абзаца3"/>
    <w:rsid w:val="00ED7F17"/>
  </w:style>
  <w:style w:type="character" w:customStyle="1" w:styleId="WW8Num6z5">
    <w:name w:val="WW8Num6z5"/>
    <w:rsid w:val="00ED7F17"/>
  </w:style>
  <w:style w:type="character" w:customStyle="1" w:styleId="WW8Num6z6">
    <w:name w:val="WW8Num6z6"/>
    <w:rsid w:val="00ED7F17"/>
  </w:style>
  <w:style w:type="character" w:customStyle="1" w:styleId="WW8Num6z7">
    <w:name w:val="WW8Num6z7"/>
    <w:rsid w:val="00ED7F17"/>
  </w:style>
  <w:style w:type="character" w:customStyle="1" w:styleId="WW8Num6z8">
    <w:name w:val="WW8Num6z8"/>
    <w:rsid w:val="00ED7F17"/>
  </w:style>
  <w:style w:type="character" w:customStyle="1" w:styleId="WW8Num9z1">
    <w:name w:val="WW8Num9z1"/>
    <w:rsid w:val="00ED7F17"/>
  </w:style>
  <w:style w:type="character" w:customStyle="1" w:styleId="WW8Num9z2">
    <w:name w:val="WW8Num9z2"/>
    <w:rsid w:val="00ED7F17"/>
  </w:style>
  <w:style w:type="character" w:customStyle="1" w:styleId="WW8Num9z3">
    <w:name w:val="WW8Num9z3"/>
    <w:rsid w:val="00ED7F17"/>
  </w:style>
  <w:style w:type="character" w:customStyle="1" w:styleId="WW8Num9z4">
    <w:name w:val="WW8Num9z4"/>
    <w:rsid w:val="00ED7F17"/>
  </w:style>
  <w:style w:type="character" w:customStyle="1" w:styleId="WW8Num9z5">
    <w:name w:val="WW8Num9z5"/>
    <w:rsid w:val="00ED7F17"/>
  </w:style>
  <w:style w:type="character" w:customStyle="1" w:styleId="WW8Num9z6">
    <w:name w:val="WW8Num9z6"/>
    <w:rsid w:val="00ED7F17"/>
  </w:style>
  <w:style w:type="character" w:customStyle="1" w:styleId="WW8Num9z7">
    <w:name w:val="WW8Num9z7"/>
    <w:rsid w:val="00ED7F17"/>
  </w:style>
  <w:style w:type="character" w:customStyle="1" w:styleId="WW8Num9z8">
    <w:name w:val="WW8Num9z8"/>
    <w:rsid w:val="00ED7F17"/>
  </w:style>
  <w:style w:type="character" w:customStyle="1" w:styleId="WW8Num10z1">
    <w:name w:val="WW8Num10z1"/>
    <w:rsid w:val="00ED7F17"/>
  </w:style>
  <w:style w:type="character" w:customStyle="1" w:styleId="WW8Num10z2">
    <w:name w:val="WW8Num10z2"/>
    <w:rsid w:val="00ED7F17"/>
  </w:style>
  <w:style w:type="character" w:customStyle="1" w:styleId="WW8Num10z3">
    <w:name w:val="WW8Num10z3"/>
    <w:rsid w:val="00ED7F17"/>
  </w:style>
  <w:style w:type="character" w:customStyle="1" w:styleId="WW8Num10z4">
    <w:name w:val="WW8Num10z4"/>
    <w:rsid w:val="00ED7F17"/>
  </w:style>
  <w:style w:type="character" w:customStyle="1" w:styleId="WW8Num10z5">
    <w:name w:val="WW8Num10z5"/>
    <w:rsid w:val="00ED7F17"/>
  </w:style>
  <w:style w:type="character" w:customStyle="1" w:styleId="WW8Num10z6">
    <w:name w:val="WW8Num10z6"/>
    <w:rsid w:val="00ED7F17"/>
  </w:style>
  <w:style w:type="character" w:customStyle="1" w:styleId="WW8Num10z7">
    <w:name w:val="WW8Num10z7"/>
    <w:rsid w:val="00ED7F17"/>
  </w:style>
  <w:style w:type="character" w:customStyle="1" w:styleId="WW8Num10z8">
    <w:name w:val="WW8Num10z8"/>
    <w:rsid w:val="00ED7F17"/>
  </w:style>
  <w:style w:type="character" w:customStyle="1" w:styleId="WW8Num11z1">
    <w:name w:val="WW8Num11z1"/>
    <w:rsid w:val="00ED7F17"/>
  </w:style>
  <w:style w:type="character" w:customStyle="1" w:styleId="WW8Num11z2">
    <w:name w:val="WW8Num11z2"/>
    <w:rsid w:val="00ED7F17"/>
  </w:style>
  <w:style w:type="character" w:customStyle="1" w:styleId="WW8Num11z3">
    <w:name w:val="WW8Num11z3"/>
    <w:rsid w:val="00ED7F17"/>
  </w:style>
  <w:style w:type="character" w:customStyle="1" w:styleId="WW8Num11z4">
    <w:name w:val="WW8Num11z4"/>
    <w:rsid w:val="00ED7F17"/>
  </w:style>
  <w:style w:type="character" w:customStyle="1" w:styleId="WW8Num11z5">
    <w:name w:val="WW8Num11z5"/>
    <w:rsid w:val="00ED7F17"/>
  </w:style>
  <w:style w:type="character" w:customStyle="1" w:styleId="WW8Num11z6">
    <w:name w:val="WW8Num11z6"/>
    <w:rsid w:val="00ED7F17"/>
  </w:style>
  <w:style w:type="character" w:customStyle="1" w:styleId="WW8Num11z7">
    <w:name w:val="WW8Num11z7"/>
    <w:rsid w:val="00ED7F17"/>
  </w:style>
  <w:style w:type="character" w:customStyle="1" w:styleId="WW8Num11z8">
    <w:name w:val="WW8Num11z8"/>
    <w:rsid w:val="00ED7F17"/>
  </w:style>
  <w:style w:type="character" w:customStyle="1" w:styleId="2f2">
    <w:name w:val="Основной шрифт абзаца2"/>
    <w:rsid w:val="00ED7F17"/>
  </w:style>
  <w:style w:type="character" w:customStyle="1" w:styleId="1f1">
    <w:name w:val="Основной шрифт абзаца1"/>
    <w:rsid w:val="00ED7F17"/>
  </w:style>
  <w:style w:type="character" w:customStyle="1" w:styleId="1f2">
    <w:name w:val="Знак сноски1"/>
    <w:rsid w:val="00ED7F17"/>
    <w:rPr>
      <w:vertAlign w:val="superscript"/>
    </w:rPr>
  </w:style>
  <w:style w:type="character" w:customStyle="1" w:styleId="1f3">
    <w:name w:val="Знак примечания1"/>
    <w:rsid w:val="00ED7F17"/>
    <w:rPr>
      <w:sz w:val="16"/>
      <w:szCs w:val="16"/>
    </w:rPr>
  </w:style>
  <w:style w:type="character" w:customStyle="1" w:styleId="affb">
    <w:name w:val="Тема примечания Знак"/>
    <w:rsid w:val="00ED7F17"/>
    <w:rPr>
      <w:b/>
      <w:bCs/>
      <w:sz w:val="20"/>
      <w:szCs w:val="20"/>
    </w:rPr>
  </w:style>
  <w:style w:type="character" w:customStyle="1" w:styleId="ListLabel3">
    <w:name w:val="ListLabel 3"/>
    <w:qFormat/>
    <w:rsid w:val="00ED7F17"/>
    <w:rPr>
      <w:strike w:val="0"/>
      <w:dstrike w:val="0"/>
      <w:u w:val="none"/>
      <w:effect w:val="none"/>
    </w:rPr>
  </w:style>
  <w:style w:type="character" w:customStyle="1" w:styleId="ListLabel4">
    <w:name w:val="ListLabel 4"/>
    <w:qFormat/>
    <w:rsid w:val="00ED7F17"/>
    <w:rPr>
      <w:strike w:val="0"/>
      <w:dstrike w:val="0"/>
      <w:u w:val="none"/>
      <w:effect w:val="none"/>
    </w:rPr>
  </w:style>
  <w:style w:type="character" w:customStyle="1" w:styleId="ListLabel5">
    <w:name w:val="ListLabel 5"/>
    <w:qFormat/>
    <w:rsid w:val="00ED7F17"/>
    <w:rPr>
      <w:strike w:val="0"/>
      <w:dstrike w:val="0"/>
      <w:u w:val="none"/>
      <w:effect w:val="none"/>
    </w:rPr>
  </w:style>
  <w:style w:type="character" w:customStyle="1" w:styleId="ListLabel6">
    <w:name w:val="ListLabel 6"/>
    <w:qFormat/>
    <w:rsid w:val="00ED7F17"/>
    <w:rPr>
      <w:strike w:val="0"/>
      <w:dstrike w:val="0"/>
      <w:u w:val="none"/>
      <w:effect w:val="none"/>
    </w:rPr>
  </w:style>
  <w:style w:type="character" w:customStyle="1" w:styleId="ListLabel7">
    <w:name w:val="ListLabel 7"/>
    <w:qFormat/>
    <w:rsid w:val="00ED7F17"/>
    <w:rPr>
      <w:strike w:val="0"/>
      <w:dstrike w:val="0"/>
      <w:u w:val="none"/>
      <w:effect w:val="none"/>
    </w:rPr>
  </w:style>
  <w:style w:type="character" w:customStyle="1" w:styleId="ListLabel8">
    <w:name w:val="ListLabel 8"/>
    <w:qFormat/>
    <w:rsid w:val="00ED7F17"/>
    <w:rPr>
      <w:strike w:val="0"/>
      <w:dstrike w:val="0"/>
      <w:u w:val="none"/>
      <w:effect w:val="none"/>
    </w:rPr>
  </w:style>
  <w:style w:type="character" w:customStyle="1" w:styleId="ListLabel9">
    <w:name w:val="ListLabel 9"/>
    <w:qFormat/>
    <w:rsid w:val="00ED7F17"/>
    <w:rPr>
      <w:strike w:val="0"/>
      <w:dstrike w:val="0"/>
      <w:u w:val="none"/>
      <w:effect w:val="none"/>
    </w:rPr>
  </w:style>
  <w:style w:type="character" w:customStyle="1" w:styleId="ListLabel10">
    <w:name w:val="ListLabel 10"/>
    <w:rsid w:val="00ED7F17"/>
    <w:rPr>
      <w:rFonts w:ascii="Times New Roman" w:hAnsi="Times New Roman" w:cs="Times New Roman" w:hint="default"/>
      <w:strike w:val="0"/>
      <w:dstrike w:val="0"/>
      <w:sz w:val="24"/>
      <w:u w:val="none"/>
      <w:effect w:val="none"/>
    </w:rPr>
  </w:style>
  <w:style w:type="character" w:customStyle="1" w:styleId="ListLabel11">
    <w:name w:val="ListLabel 11"/>
    <w:rsid w:val="00ED7F17"/>
    <w:rPr>
      <w:strike w:val="0"/>
      <w:dstrike w:val="0"/>
      <w:u w:val="none"/>
      <w:effect w:val="none"/>
    </w:rPr>
  </w:style>
  <w:style w:type="character" w:customStyle="1" w:styleId="ListLabel12">
    <w:name w:val="ListLabel 12"/>
    <w:rsid w:val="00ED7F17"/>
    <w:rPr>
      <w:strike w:val="0"/>
      <w:dstrike w:val="0"/>
      <w:u w:val="none"/>
      <w:effect w:val="none"/>
    </w:rPr>
  </w:style>
  <w:style w:type="character" w:customStyle="1" w:styleId="ListLabel13">
    <w:name w:val="ListLabel 13"/>
    <w:rsid w:val="00ED7F17"/>
    <w:rPr>
      <w:strike w:val="0"/>
      <w:dstrike w:val="0"/>
      <w:u w:val="none"/>
      <w:effect w:val="none"/>
    </w:rPr>
  </w:style>
  <w:style w:type="character" w:customStyle="1" w:styleId="ListLabel14">
    <w:name w:val="ListLabel 14"/>
    <w:rsid w:val="00ED7F17"/>
    <w:rPr>
      <w:strike w:val="0"/>
      <w:dstrike w:val="0"/>
      <w:u w:val="none"/>
      <w:effect w:val="none"/>
    </w:rPr>
  </w:style>
  <w:style w:type="character" w:customStyle="1" w:styleId="ListLabel15">
    <w:name w:val="ListLabel 15"/>
    <w:rsid w:val="00ED7F17"/>
    <w:rPr>
      <w:strike w:val="0"/>
      <w:dstrike w:val="0"/>
      <w:u w:val="none"/>
      <w:effect w:val="none"/>
    </w:rPr>
  </w:style>
  <w:style w:type="character" w:customStyle="1" w:styleId="ListLabel16">
    <w:name w:val="ListLabel 16"/>
    <w:rsid w:val="00ED7F17"/>
    <w:rPr>
      <w:strike w:val="0"/>
      <w:dstrike w:val="0"/>
      <w:u w:val="none"/>
      <w:effect w:val="none"/>
    </w:rPr>
  </w:style>
  <w:style w:type="character" w:customStyle="1" w:styleId="ListLabel17">
    <w:name w:val="ListLabel 17"/>
    <w:rsid w:val="00ED7F17"/>
    <w:rPr>
      <w:strike w:val="0"/>
      <w:dstrike w:val="0"/>
      <w:u w:val="none"/>
      <w:effect w:val="none"/>
    </w:rPr>
  </w:style>
  <w:style w:type="character" w:customStyle="1" w:styleId="ListLabel18">
    <w:name w:val="ListLabel 18"/>
    <w:rsid w:val="00ED7F17"/>
    <w:rPr>
      <w:strike w:val="0"/>
      <w:dstrike w:val="0"/>
      <w:u w:val="none"/>
      <w:effect w:val="none"/>
    </w:rPr>
  </w:style>
  <w:style w:type="character" w:customStyle="1" w:styleId="ListLabel19">
    <w:name w:val="ListLabel 19"/>
    <w:rsid w:val="00ED7F17"/>
    <w:rPr>
      <w:rFonts w:ascii="Times New Roman" w:hAnsi="Times New Roman" w:cs="Times New Roman" w:hint="default"/>
      <w:strike w:val="0"/>
      <w:dstrike w:val="0"/>
      <w:sz w:val="24"/>
      <w:u w:val="none"/>
      <w:effect w:val="none"/>
    </w:rPr>
  </w:style>
  <w:style w:type="character" w:customStyle="1" w:styleId="ListLabel20">
    <w:name w:val="ListLabel 20"/>
    <w:rsid w:val="00ED7F17"/>
    <w:rPr>
      <w:strike w:val="0"/>
      <w:dstrike w:val="0"/>
      <w:u w:val="none"/>
      <w:effect w:val="none"/>
    </w:rPr>
  </w:style>
  <w:style w:type="character" w:customStyle="1" w:styleId="ListLabel21">
    <w:name w:val="ListLabel 21"/>
    <w:rsid w:val="00ED7F17"/>
    <w:rPr>
      <w:strike w:val="0"/>
      <w:dstrike w:val="0"/>
      <w:u w:val="none"/>
      <w:effect w:val="none"/>
    </w:rPr>
  </w:style>
  <w:style w:type="character" w:customStyle="1" w:styleId="ListLabel22">
    <w:name w:val="ListLabel 22"/>
    <w:rsid w:val="00ED7F17"/>
    <w:rPr>
      <w:strike w:val="0"/>
      <w:dstrike w:val="0"/>
      <w:u w:val="none"/>
      <w:effect w:val="none"/>
    </w:rPr>
  </w:style>
  <w:style w:type="character" w:customStyle="1" w:styleId="ListLabel23">
    <w:name w:val="ListLabel 23"/>
    <w:qFormat/>
    <w:rsid w:val="00ED7F17"/>
    <w:rPr>
      <w:strike w:val="0"/>
      <w:dstrike w:val="0"/>
      <w:u w:val="none"/>
      <w:effect w:val="none"/>
    </w:rPr>
  </w:style>
  <w:style w:type="character" w:customStyle="1" w:styleId="ListLabel24">
    <w:name w:val="ListLabel 24"/>
    <w:qFormat/>
    <w:rsid w:val="00ED7F17"/>
    <w:rPr>
      <w:strike w:val="0"/>
      <w:dstrike w:val="0"/>
      <w:u w:val="none"/>
      <w:effect w:val="none"/>
    </w:rPr>
  </w:style>
  <w:style w:type="character" w:customStyle="1" w:styleId="ListLabel25">
    <w:name w:val="ListLabel 25"/>
    <w:qFormat/>
    <w:rsid w:val="00ED7F17"/>
    <w:rPr>
      <w:strike w:val="0"/>
      <w:dstrike w:val="0"/>
      <w:u w:val="none"/>
      <w:effect w:val="none"/>
    </w:rPr>
  </w:style>
  <w:style w:type="character" w:customStyle="1" w:styleId="ListLabel26">
    <w:name w:val="ListLabel 26"/>
    <w:qFormat/>
    <w:rsid w:val="00ED7F17"/>
    <w:rPr>
      <w:strike w:val="0"/>
      <w:dstrike w:val="0"/>
      <w:u w:val="none"/>
      <w:effect w:val="none"/>
    </w:rPr>
  </w:style>
  <w:style w:type="character" w:customStyle="1" w:styleId="ListLabel27">
    <w:name w:val="ListLabel 27"/>
    <w:qFormat/>
    <w:rsid w:val="00ED7F17"/>
    <w:rPr>
      <w:strike w:val="0"/>
      <w:dstrike w:val="0"/>
      <w:u w:val="none"/>
      <w:effect w:val="none"/>
    </w:rPr>
  </w:style>
  <w:style w:type="character" w:customStyle="1" w:styleId="ListLabel28">
    <w:name w:val="ListLabel 28"/>
    <w:qFormat/>
    <w:rsid w:val="00ED7F17"/>
    <w:rPr>
      <w:rFonts w:ascii="Times New Roman" w:hAnsi="Times New Roman" w:cs="Times New Roman" w:hint="default"/>
      <w:strike w:val="0"/>
      <w:dstrike w:val="0"/>
      <w:sz w:val="24"/>
      <w:u w:val="none"/>
      <w:effect w:val="none"/>
    </w:rPr>
  </w:style>
  <w:style w:type="character" w:customStyle="1" w:styleId="ListLabel29">
    <w:name w:val="ListLabel 29"/>
    <w:qFormat/>
    <w:rsid w:val="00ED7F17"/>
    <w:rPr>
      <w:strike w:val="0"/>
      <w:dstrike w:val="0"/>
      <w:u w:val="none"/>
      <w:effect w:val="none"/>
    </w:rPr>
  </w:style>
  <w:style w:type="character" w:customStyle="1" w:styleId="ListLabel30">
    <w:name w:val="ListLabel 30"/>
    <w:qFormat/>
    <w:rsid w:val="00ED7F17"/>
    <w:rPr>
      <w:strike w:val="0"/>
      <w:dstrike w:val="0"/>
      <w:u w:val="none"/>
      <w:effect w:val="none"/>
    </w:rPr>
  </w:style>
  <w:style w:type="character" w:customStyle="1" w:styleId="ListLabel31">
    <w:name w:val="ListLabel 31"/>
    <w:qFormat/>
    <w:rsid w:val="00ED7F17"/>
    <w:rPr>
      <w:strike w:val="0"/>
      <w:dstrike w:val="0"/>
      <w:u w:val="none"/>
      <w:effect w:val="none"/>
    </w:rPr>
  </w:style>
  <w:style w:type="character" w:customStyle="1" w:styleId="ListLabel32">
    <w:name w:val="ListLabel 32"/>
    <w:qFormat/>
    <w:rsid w:val="00ED7F17"/>
    <w:rPr>
      <w:strike w:val="0"/>
      <w:dstrike w:val="0"/>
      <w:u w:val="none"/>
      <w:effect w:val="none"/>
    </w:rPr>
  </w:style>
  <w:style w:type="character" w:customStyle="1" w:styleId="ListLabel33">
    <w:name w:val="ListLabel 33"/>
    <w:qFormat/>
    <w:rsid w:val="00ED7F17"/>
    <w:rPr>
      <w:strike w:val="0"/>
      <w:dstrike w:val="0"/>
      <w:u w:val="none"/>
      <w:effect w:val="none"/>
    </w:rPr>
  </w:style>
  <w:style w:type="character" w:customStyle="1" w:styleId="ListLabel34">
    <w:name w:val="ListLabel 34"/>
    <w:qFormat/>
    <w:rsid w:val="00ED7F17"/>
    <w:rPr>
      <w:strike w:val="0"/>
      <w:dstrike w:val="0"/>
      <w:u w:val="none"/>
      <w:effect w:val="none"/>
    </w:rPr>
  </w:style>
  <w:style w:type="character" w:customStyle="1" w:styleId="ListLabel35">
    <w:name w:val="ListLabel 35"/>
    <w:qFormat/>
    <w:rsid w:val="00ED7F17"/>
    <w:rPr>
      <w:strike w:val="0"/>
      <w:dstrike w:val="0"/>
      <w:u w:val="none"/>
      <w:effect w:val="none"/>
    </w:rPr>
  </w:style>
  <w:style w:type="character" w:customStyle="1" w:styleId="ListLabel36">
    <w:name w:val="ListLabel 36"/>
    <w:qFormat/>
    <w:rsid w:val="00ED7F17"/>
    <w:rPr>
      <w:strike w:val="0"/>
      <w:dstrike w:val="0"/>
      <w:u w:val="none"/>
      <w:effect w:val="none"/>
    </w:rPr>
  </w:style>
  <w:style w:type="character" w:customStyle="1" w:styleId="ListLabel37">
    <w:name w:val="ListLabel 37"/>
    <w:qFormat/>
    <w:rsid w:val="00ED7F17"/>
    <w:rPr>
      <w:rFonts w:ascii="Times New Roman" w:hAnsi="Times New Roman" w:cs="Times New Roman" w:hint="default"/>
      <w:strike w:val="0"/>
      <w:dstrike w:val="0"/>
      <w:sz w:val="24"/>
      <w:u w:val="none"/>
      <w:effect w:val="none"/>
    </w:rPr>
  </w:style>
  <w:style w:type="character" w:customStyle="1" w:styleId="ListLabel38">
    <w:name w:val="ListLabel 38"/>
    <w:qFormat/>
    <w:rsid w:val="00ED7F17"/>
    <w:rPr>
      <w:strike w:val="0"/>
      <w:dstrike w:val="0"/>
      <w:u w:val="none"/>
      <w:effect w:val="none"/>
    </w:rPr>
  </w:style>
  <w:style w:type="character" w:customStyle="1" w:styleId="ListLabel39">
    <w:name w:val="ListLabel 39"/>
    <w:qFormat/>
    <w:rsid w:val="00ED7F17"/>
    <w:rPr>
      <w:strike w:val="0"/>
      <w:dstrike w:val="0"/>
      <w:u w:val="none"/>
      <w:effect w:val="none"/>
    </w:rPr>
  </w:style>
  <w:style w:type="character" w:customStyle="1" w:styleId="ListLabel40">
    <w:name w:val="ListLabel 40"/>
    <w:qFormat/>
    <w:rsid w:val="00ED7F17"/>
    <w:rPr>
      <w:strike w:val="0"/>
      <w:dstrike w:val="0"/>
      <w:u w:val="none"/>
      <w:effect w:val="none"/>
    </w:rPr>
  </w:style>
  <w:style w:type="character" w:customStyle="1" w:styleId="ListLabel41">
    <w:name w:val="ListLabel 41"/>
    <w:qFormat/>
    <w:rsid w:val="00ED7F17"/>
    <w:rPr>
      <w:strike w:val="0"/>
      <w:dstrike w:val="0"/>
      <w:u w:val="none"/>
      <w:effect w:val="none"/>
    </w:rPr>
  </w:style>
  <w:style w:type="character" w:customStyle="1" w:styleId="ListLabel42">
    <w:name w:val="ListLabel 42"/>
    <w:qFormat/>
    <w:rsid w:val="00ED7F17"/>
    <w:rPr>
      <w:strike w:val="0"/>
      <w:dstrike w:val="0"/>
      <w:u w:val="none"/>
      <w:effect w:val="none"/>
    </w:rPr>
  </w:style>
  <w:style w:type="character" w:customStyle="1" w:styleId="ListLabel43">
    <w:name w:val="ListLabel 43"/>
    <w:qFormat/>
    <w:rsid w:val="00ED7F17"/>
    <w:rPr>
      <w:strike w:val="0"/>
      <w:dstrike w:val="0"/>
      <w:u w:val="none"/>
      <w:effect w:val="none"/>
    </w:rPr>
  </w:style>
  <w:style w:type="character" w:customStyle="1" w:styleId="ListLabel44">
    <w:name w:val="ListLabel 44"/>
    <w:qFormat/>
    <w:rsid w:val="00ED7F17"/>
    <w:rPr>
      <w:strike w:val="0"/>
      <w:dstrike w:val="0"/>
      <w:u w:val="none"/>
      <w:effect w:val="none"/>
    </w:rPr>
  </w:style>
  <w:style w:type="character" w:customStyle="1" w:styleId="ListLabel45">
    <w:name w:val="ListLabel 45"/>
    <w:qFormat/>
    <w:rsid w:val="00ED7F17"/>
    <w:rPr>
      <w:strike w:val="0"/>
      <w:dstrike w:val="0"/>
      <w:u w:val="none"/>
      <w:effect w:val="none"/>
    </w:rPr>
  </w:style>
  <w:style w:type="character" w:customStyle="1" w:styleId="ListLabel46">
    <w:name w:val="ListLabel 46"/>
    <w:qFormat/>
    <w:rsid w:val="00ED7F17"/>
    <w:rPr>
      <w:rFonts w:ascii="Times New Roman" w:hAnsi="Times New Roman" w:cs="Times New Roman" w:hint="default"/>
      <w:strike w:val="0"/>
      <w:dstrike w:val="0"/>
      <w:sz w:val="24"/>
      <w:u w:val="none"/>
      <w:effect w:val="none"/>
    </w:rPr>
  </w:style>
  <w:style w:type="character" w:customStyle="1" w:styleId="ListLabel47">
    <w:name w:val="ListLabel 47"/>
    <w:qFormat/>
    <w:rsid w:val="00ED7F17"/>
    <w:rPr>
      <w:strike w:val="0"/>
      <w:dstrike w:val="0"/>
      <w:u w:val="none"/>
      <w:effect w:val="none"/>
    </w:rPr>
  </w:style>
  <w:style w:type="character" w:customStyle="1" w:styleId="ListLabel48">
    <w:name w:val="ListLabel 48"/>
    <w:qFormat/>
    <w:rsid w:val="00ED7F17"/>
    <w:rPr>
      <w:strike w:val="0"/>
      <w:dstrike w:val="0"/>
      <w:u w:val="none"/>
      <w:effect w:val="none"/>
    </w:rPr>
  </w:style>
  <w:style w:type="character" w:customStyle="1" w:styleId="ListLabel49">
    <w:name w:val="ListLabel 49"/>
    <w:qFormat/>
    <w:rsid w:val="00ED7F17"/>
    <w:rPr>
      <w:strike w:val="0"/>
      <w:dstrike w:val="0"/>
      <w:u w:val="none"/>
      <w:effect w:val="none"/>
    </w:rPr>
  </w:style>
  <w:style w:type="character" w:customStyle="1" w:styleId="ListLabel50">
    <w:name w:val="ListLabel 50"/>
    <w:qFormat/>
    <w:rsid w:val="00ED7F17"/>
    <w:rPr>
      <w:strike w:val="0"/>
      <w:dstrike w:val="0"/>
      <w:u w:val="none"/>
      <w:effect w:val="none"/>
    </w:rPr>
  </w:style>
  <w:style w:type="character" w:customStyle="1" w:styleId="ListLabel51">
    <w:name w:val="ListLabel 51"/>
    <w:qFormat/>
    <w:rsid w:val="00ED7F17"/>
    <w:rPr>
      <w:strike w:val="0"/>
      <w:dstrike w:val="0"/>
      <w:u w:val="none"/>
      <w:effect w:val="none"/>
    </w:rPr>
  </w:style>
  <w:style w:type="character" w:customStyle="1" w:styleId="ListLabel52">
    <w:name w:val="ListLabel 52"/>
    <w:qFormat/>
    <w:rsid w:val="00ED7F17"/>
    <w:rPr>
      <w:strike w:val="0"/>
      <w:dstrike w:val="0"/>
      <w:u w:val="none"/>
      <w:effect w:val="none"/>
    </w:rPr>
  </w:style>
  <w:style w:type="character" w:customStyle="1" w:styleId="ListLabel53">
    <w:name w:val="ListLabel 53"/>
    <w:qFormat/>
    <w:rsid w:val="00ED7F17"/>
    <w:rPr>
      <w:strike w:val="0"/>
      <w:dstrike w:val="0"/>
      <w:u w:val="none"/>
      <w:effect w:val="none"/>
    </w:rPr>
  </w:style>
  <w:style w:type="character" w:customStyle="1" w:styleId="ListLabel54">
    <w:name w:val="ListLabel 54"/>
    <w:qFormat/>
    <w:rsid w:val="00ED7F17"/>
    <w:rPr>
      <w:strike w:val="0"/>
      <w:dstrike w:val="0"/>
      <w:u w:val="none"/>
      <w:effect w:val="none"/>
    </w:rPr>
  </w:style>
  <w:style w:type="character" w:customStyle="1" w:styleId="ListLabel55">
    <w:name w:val="ListLabel 55"/>
    <w:qFormat/>
    <w:rsid w:val="00ED7F17"/>
    <w:rPr>
      <w:rFonts w:ascii="Times New Roman" w:eastAsia="Times New Roman" w:hAnsi="Times New Roman" w:cs="Times New Roman" w:hint="default"/>
      <w:b w:val="0"/>
      <w:bCs w:val="0"/>
      <w:i w:val="0"/>
      <w:iCs w:val="0"/>
      <w:caps w:val="0"/>
      <w:smallCaps w:val="0"/>
      <w:strike w:val="0"/>
      <w:dstrike w:val="0"/>
      <w:color w:val="000000"/>
      <w:sz w:val="24"/>
      <w:szCs w:val="24"/>
      <w:u w:val="none"/>
      <w:effect w:val="none"/>
    </w:rPr>
  </w:style>
  <w:style w:type="character" w:customStyle="1" w:styleId="ListLabel56">
    <w:name w:val="ListLabel 56"/>
    <w:qFormat/>
    <w:rsid w:val="00ED7F17"/>
    <w:rPr>
      <w:strike w:val="0"/>
      <w:dstrike w:val="0"/>
      <w:u w:val="none"/>
      <w:effect w:val="none"/>
    </w:rPr>
  </w:style>
  <w:style w:type="character" w:customStyle="1" w:styleId="ListLabel57">
    <w:name w:val="ListLabel 57"/>
    <w:qFormat/>
    <w:rsid w:val="00ED7F17"/>
    <w:rPr>
      <w:strike w:val="0"/>
      <w:dstrike w:val="0"/>
      <w:u w:val="none"/>
      <w:effect w:val="none"/>
    </w:rPr>
  </w:style>
  <w:style w:type="character" w:customStyle="1" w:styleId="ListLabel58">
    <w:name w:val="ListLabel 58"/>
    <w:qFormat/>
    <w:rsid w:val="00ED7F17"/>
    <w:rPr>
      <w:strike w:val="0"/>
      <w:dstrike w:val="0"/>
      <w:u w:val="none"/>
      <w:effect w:val="none"/>
    </w:rPr>
  </w:style>
  <w:style w:type="character" w:customStyle="1" w:styleId="ListLabel59">
    <w:name w:val="ListLabel 59"/>
    <w:qFormat/>
    <w:rsid w:val="00ED7F17"/>
    <w:rPr>
      <w:strike w:val="0"/>
      <w:dstrike w:val="0"/>
      <w:u w:val="none"/>
      <w:effect w:val="none"/>
    </w:rPr>
  </w:style>
  <w:style w:type="character" w:customStyle="1" w:styleId="ListLabel60">
    <w:name w:val="ListLabel 60"/>
    <w:qFormat/>
    <w:rsid w:val="00ED7F17"/>
    <w:rPr>
      <w:strike w:val="0"/>
      <w:dstrike w:val="0"/>
      <w:u w:val="none"/>
      <w:effect w:val="none"/>
    </w:rPr>
  </w:style>
  <w:style w:type="character" w:customStyle="1" w:styleId="ListLabel61">
    <w:name w:val="ListLabel 61"/>
    <w:qFormat/>
    <w:rsid w:val="00ED7F17"/>
    <w:rPr>
      <w:strike w:val="0"/>
      <w:dstrike w:val="0"/>
      <w:u w:val="none"/>
      <w:effect w:val="none"/>
    </w:rPr>
  </w:style>
  <w:style w:type="character" w:customStyle="1" w:styleId="ListLabel62">
    <w:name w:val="ListLabel 62"/>
    <w:qFormat/>
    <w:rsid w:val="00ED7F17"/>
    <w:rPr>
      <w:strike w:val="0"/>
      <w:dstrike w:val="0"/>
      <w:u w:val="none"/>
      <w:effect w:val="none"/>
    </w:rPr>
  </w:style>
  <w:style w:type="character" w:customStyle="1" w:styleId="ListLabel63">
    <w:name w:val="ListLabel 63"/>
    <w:rsid w:val="00ED7F17"/>
    <w:rPr>
      <w:strike w:val="0"/>
      <w:dstrike w:val="0"/>
      <w:u w:val="none"/>
      <w:effect w:val="none"/>
    </w:rPr>
  </w:style>
  <w:style w:type="character" w:customStyle="1" w:styleId="ListLabel64">
    <w:name w:val="ListLabel 64"/>
    <w:rsid w:val="00ED7F17"/>
    <w:rPr>
      <w:rFonts w:ascii="Times New Roman" w:hAnsi="Times New Roman" w:cs="Times New Roman" w:hint="default"/>
      <w:b/>
      <w:bCs w:val="0"/>
      <w:strike w:val="0"/>
      <w:dstrike w:val="0"/>
      <w:sz w:val="24"/>
      <w:u w:val="none"/>
      <w:effect w:val="none"/>
    </w:rPr>
  </w:style>
  <w:style w:type="character" w:customStyle="1" w:styleId="ListLabel65">
    <w:name w:val="ListLabel 65"/>
    <w:rsid w:val="00ED7F17"/>
    <w:rPr>
      <w:strike w:val="0"/>
      <w:dstrike w:val="0"/>
      <w:u w:val="none"/>
      <w:effect w:val="none"/>
    </w:rPr>
  </w:style>
  <w:style w:type="character" w:customStyle="1" w:styleId="ListLabel66">
    <w:name w:val="ListLabel 66"/>
    <w:rsid w:val="00ED7F17"/>
    <w:rPr>
      <w:strike w:val="0"/>
      <w:dstrike w:val="0"/>
      <w:u w:val="none"/>
      <w:effect w:val="none"/>
    </w:rPr>
  </w:style>
  <w:style w:type="character" w:customStyle="1" w:styleId="ListLabel67">
    <w:name w:val="ListLabel 67"/>
    <w:rsid w:val="00ED7F17"/>
    <w:rPr>
      <w:strike w:val="0"/>
      <w:dstrike w:val="0"/>
      <w:u w:val="none"/>
      <w:effect w:val="none"/>
    </w:rPr>
  </w:style>
  <w:style w:type="character" w:customStyle="1" w:styleId="ListLabel68">
    <w:name w:val="ListLabel 68"/>
    <w:rsid w:val="00ED7F17"/>
    <w:rPr>
      <w:strike w:val="0"/>
      <w:dstrike w:val="0"/>
      <w:u w:val="none"/>
      <w:effect w:val="none"/>
    </w:rPr>
  </w:style>
  <w:style w:type="character" w:customStyle="1" w:styleId="ListLabel69">
    <w:name w:val="ListLabel 69"/>
    <w:rsid w:val="00ED7F17"/>
    <w:rPr>
      <w:strike w:val="0"/>
      <w:dstrike w:val="0"/>
      <w:u w:val="none"/>
      <w:effect w:val="none"/>
    </w:rPr>
  </w:style>
  <w:style w:type="character" w:customStyle="1" w:styleId="ListLabel70">
    <w:name w:val="ListLabel 70"/>
    <w:rsid w:val="00ED7F17"/>
    <w:rPr>
      <w:strike w:val="0"/>
      <w:dstrike w:val="0"/>
      <w:u w:val="none"/>
      <w:effect w:val="none"/>
    </w:rPr>
  </w:style>
  <w:style w:type="character" w:customStyle="1" w:styleId="ListLabel71">
    <w:name w:val="ListLabel 71"/>
    <w:rsid w:val="00ED7F17"/>
    <w:rPr>
      <w:strike w:val="0"/>
      <w:dstrike w:val="0"/>
      <w:u w:val="none"/>
      <w:effect w:val="none"/>
    </w:rPr>
  </w:style>
  <w:style w:type="character" w:customStyle="1" w:styleId="ListLabel72">
    <w:name w:val="ListLabel 72"/>
    <w:rsid w:val="00ED7F17"/>
    <w:rPr>
      <w:strike w:val="0"/>
      <w:dstrike w:val="0"/>
      <w:u w:val="none"/>
      <w:effect w:val="none"/>
    </w:rPr>
  </w:style>
  <w:style w:type="character" w:customStyle="1" w:styleId="ListLabel73">
    <w:name w:val="ListLabel 73"/>
    <w:rsid w:val="00ED7F17"/>
    <w:rPr>
      <w:rFonts w:ascii="Arial" w:hAnsi="Arial" w:cs="Arial" w:hint="default"/>
      <w:i/>
      <w:iCs w:val="0"/>
    </w:rPr>
  </w:style>
  <w:style w:type="character" w:customStyle="1" w:styleId="ListLabel74">
    <w:name w:val="ListLabel 74"/>
    <w:rsid w:val="00ED7F17"/>
    <w:rPr>
      <w:i w:val="0"/>
      <w:iCs w:val="0"/>
    </w:rPr>
  </w:style>
  <w:style w:type="character" w:customStyle="1" w:styleId="ListLabel75">
    <w:name w:val="ListLabel 75"/>
    <w:rsid w:val="00ED7F17"/>
    <w:rPr>
      <w:rFonts w:ascii="Courier New" w:hAnsi="Courier New" w:cs="Courier New" w:hint="default"/>
    </w:rPr>
  </w:style>
  <w:style w:type="character" w:customStyle="1" w:styleId="ListLabel76">
    <w:name w:val="ListLabel 76"/>
    <w:rsid w:val="00ED7F17"/>
    <w:rPr>
      <w:rFonts w:ascii="Courier New" w:hAnsi="Courier New" w:cs="Courier New" w:hint="default"/>
    </w:rPr>
  </w:style>
  <w:style w:type="character" w:customStyle="1" w:styleId="ListLabel77">
    <w:name w:val="ListLabel 77"/>
    <w:rsid w:val="00ED7F17"/>
    <w:rPr>
      <w:rFonts w:ascii="Courier New" w:hAnsi="Courier New" w:cs="Courier New" w:hint="default"/>
    </w:rPr>
  </w:style>
  <w:style w:type="character" w:customStyle="1" w:styleId="ListLabel78">
    <w:name w:val="ListLabel 78"/>
    <w:rsid w:val="00ED7F17"/>
    <w:rPr>
      <w:i w:val="0"/>
      <w:iCs w:val="0"/>
    </w:rPr>
  </w:style>
  <w:style w:type="character" w:customStyle="1" w:styleId="ListLabel79">
    <w:name w:val="ListLabel 79"/>
    <w:rsid w:val="00ED7F17"/>
    <w:rPr>
      <w:i w:val="0"/>
      <w:iCs w:val="0"/>
    </w:rPr>
  </w:style>
  <w:style w:type="character" w:customStyle="1" w:styleId="ListLabel80">
    <w:name w:val="ListLabel 80"/>
    <w:rsid w:val="00ED7F17"/>
    <w:rPr>
      <w:i w:val="0"/>
      <w:iCs w:val="0"/>
    </w:rPr>
  </w:style>
  <w:style w:type="character" w:customStyle="1" w:styleId="ListLabel81">
    <w:name w:val="ListLabel 81"/>
    <w:rsid w:val="00ED7F17"/>
    <w:rPr>
      <w:i w:val="0"/>
      <w:iCs w:val="0"/>
    </w:rPr>
  </w:style>
  <w:style w:type="character" w:customStyle="1" w:styleId="ListLabel82">
    <w:name w:val="ListLabel 82"/>
    <w:rsid w:val="00ED7F17"/>
    <w:rPr>
      <w:i w:val="0"/>
      <w:iCs w:val="0"/>
    </w:rPr>
  </w:style>
  <w:style w:type="character" w:customStyle="1" w:styleId="ListLabel83">
    <w:name w:val="ListLabel 83"/>
    <w:rsid w:val="00ED7F17"/>
    <w:rPr>
      <w:i w:val="0"/>
      <w:iCs w:val="0"/>
    </w:rPr>
  </w:style>
  <w:style w:type="character" w:customStyle="1" w:styleId="ListLabel84">
    <w:name w:val="ListLabel 84"/>
    <w:rsid w:val="00ED7F17"/>
    <w:rPr>
      <w:i w:val="0"/>
      <w:iCs w:val="0"/>
    </w:rPr>
  </w:style>
  <w:style w:type="character" w:customStyle="1" w:styleId="ListLabel85">
    <w:name w:val="ListLabel 85"/>
    <w:rsid w:val="00ED7F17"/>
    <w:rPr>
      <w:i w:val="0"/>
      <w:iCs w:val="0"/>
    </w:rPr>
  </w:style>
  <w:style w:type="character" w:customStyle="1" w:styleId="ListLabel86">
    <w:name w:val="ListLabel 86"/>
    <w:rsid w:val="00ED7F17"/>
    <w:rPr>
      <w:i w:val="0"/>
      <w:iCs w:val="0"/>
    </w:rPr>
  </w:style>
  <w:style w:type="character" w:customStyle="1" w:styleId="ListLabel87">
    <w:name w:val="ListLabel 87"/>
    <w:rsid w:val="00ED7F17"/>
    <w:rPr>
      <w:rFonts w:ascii="Arial" w:eastAsia="Arial" w:hAnsi="Arial" w:cs="Times New Roman" w:hint="default"/>
    </w:rPr>
  </w:style>
  <w:style w:type="character" w:customStyle="1" w:styleId="ListLabel88">
    <w:name w:val="ListLabel 88"/>
    <w:rsid w:val="00ED7F17"/>
    <w:rPr>
      <w:rFonts w:ascii="Courier New" w:hAnsi="Courier New" w:cs="Courier New" w:hint="default"/>
    </w:rPr>
  </w:style>
  <w:style w:type="character" w:customStyle="1" w:styleId="ListLabel89">
    <w:name w:val="ListLabel 89"/>
    <w:rsid w:val="00ED7F17"/>
    <w:rPr>
      <w:rFonts w:ascii="Courier New" w:hAnsi="Courier New" w:cs="Courier New" w:hint="default"/>
    </w:rPr>
  </w:style>
  <w:style w:type="character" w:customStyle="1" w:styleId="ListLabel90">
    <w:name w:val="ListLabel 90"/>
    <w:rsid w:val="00ED7F17"/>
    <w:rPr>
      <w:rFonts w:ascii="Courier New" w:hAnsi="Courier New" w:cs="Courier New" w:hint="default"/>
    </w:rPr>
  </w:style>
  <w:style w:type="character" w:customStyle="1" w:styleId="ListLabel91">
    <w:name w:val="ListLabel 91"/>
    <w:rsid w:val="00ED7F17"/>
    <w:rPr>
      <w:rFonts w:ascii="Courier New" w:hAnsi="Courier New" w:cs="Courier New" w:hint="default"/>
    </w:rPr>
  </w:style>
  <w:style w:type="character" w:customStyle="1" w:styleId="ListLabel92">
    <w:name w:val="ListLabel 92"/>
    <w:rsid w:val="00ED7F17"/>
    <w:rPr>
      <w:rFonts w:ascii="Courier New" w:hAnsi="Courier New" w:cs="Courier New" w:hint="default"/>
    </w:rPr>
  </w:style>
  <w:style w:type="character" w:customStyle="1" w:styleId="ListLabel93">
    <w:name w:val="ListLabel 93"/>
    <w:rsid w:val="00ED7F17"/>
    <w:rPr>
      <w:rFonts w:ascii="Courier New" w:hAnsi="Courier New" w:cs="Courier New" w:hint="default"/>
    </w:rPr>
  </w:style>
  <w:style w:type="character" w:customStyle="1" w:styleId="ListLabel94">
    <w:name w:val="ListLabel 94"/>
    <w:rsid w:val="00ED7F17"/>
    <w:rPr>
      <w:rFonts w:ascii="Courier New" w:hAnsi="Courier New" w:cs="Courier New" w:hint="default"/>
    </w:rPr>
  </w:style>
  <w:style w:type="character" w:customStyle="1" w:styleId="ListLabel95">
    <w:name w:val="ListLabel 95"/>
    <w:rsid w:val="00ED7F17"/>
    <w:rPr>
      <w:rFonts w:ascii="Courier New" w:hAnsi="Courier New" w:cs="Courier New" w:hint="default"/>
    </w:rPr>
  </w:style>
  <w:style w:type="character" w:customStyle="1" w:styleId="ListLabel96">
    <w:name w:val="ListLabel 96"/>
    <w:rsid w:val="00ED7F17"/>
    <w:rPr>
      <w:rFonts w:ascii="Courier New" w:hAnsi="Courier New" w:cs="Courier New" w:hint="default"/>
    </w:rPr>
  </w:style>
  <w:style w:type="character" w:customStyle="1" w:styleId="ListLabel97">
    <w:name w:val="ListLabel 97"/>
    <w:rsid w:val="00ED7F17"/>
    <w:rPr>
      <w:rFonts w:ascii="Courier New" w:hAnsi="Courier New" w:cs="Courier New" w:hint="default"/>
    </w:rPr>
  </w:style>
  <w:style w:type="character" w:customStyle="1" w:styleId="ListLabel98">
    <w:name w:val="ListLabel 98"/>
    <w:rsid w:val="00ED7F17"/>
    <w:rPr>
      <w:rFonts w:ascii="Courier New" w:hAnsi="Courier New" w:cs="Courier New" w:hint="default"/>
    </w:rPr>
  </w:style>
  <w:style w:type="character" w:customStyle="1" w:styleId="ListLabel99">
    <w:name w:val="ListLabel 99"/>
    <w:rsid w:val="00ED7F17"/>
    <w:rPr>
      <w:rFonts w:ascii="Courier New" w:hAnsi="Courier New" w:cs="Courier New" w:hint="default"/>
    </w:rPr>
  </w:style>
  <w:style w:type="character" w:customStyle="1" w:styleId="ListLabel100">
    <w:name w:val="ListLabel 100"/>
    <w:rsid w:val="00ED7F17"/>
    <w:rPr>
      <w:rFonts w:ascii="Courier New" w:hAnsi="Courier New" w:cs="Courier New" w:hint="default"/>
    </w:rPr>
  </w:style>
  <w:style w:type="character" w:customStyle="1" w:styleId="ListLabel101">
    <w:name w:val="ListLabel 101"/>
    <w:rsid w:val="00ED7F17"/>
    <w:rPr>
      <w:rFonts w:ascii="Courier New" w:hAnsi="Courier New" w:cs="Courier New" w:hint="default"/>
    </w:rPr>
  </w:style>
  <w:style w:type="character" w:customStyle="1" w:styleId="ListLabel102">
    <w:name w:val="ListLabel 102"/>
    <w:rsid w:val="00ED7F17"/>
    <w:rPr>
      <w:rFonts w:ascii="Times New Roman" w:hAnsi="Times New Roman" w:cs="Times New Roman" w:hint="default"/>
      <w:b/>
      <w:bCs w:val="0"/>
      <w:i w:val="0"/>
      <w:iCs w:val="0"/>
      <w:sz w:val="24"/>
    </w:rPr>
  </w:style>
  <w:style w:type="character" w:customStyle="1" w:styleId="ListLabel103">
    <w:name w:val="ListLabel 103"/>
    <w:rsid w:val="00ED7F17"/>
    <w:rPr>
      <w:i w:val="0"/>
      <w:iCs w:val="0"/>
    </w:rPr>
  </w:style>
  <w:style w:type="character" w:customStyle="1" w:styleId="ListLabel104">
    <w:name w:val="ListLabel 104"/>
    <w:rsid w:val="00ED7F17"/>
    <w:rPr>
      <w:i w:val="0"/>
      <w:iCs w:val="0"/>
    </w:rPr>
  </w:style>
  <w:style w:type="character" w:customStyle="1" w:styleId="ListLabel105">
    <w:name w:val="ListLabel 105"/>
    <w:rsid w:val="00ED7F17"/>
    <w:rPr>
      <w:i w:val="0"/>
      <w:iCs w:val="0"/>
    </w:rPr>
  </w:style>
  <w:style w:type="character" w:customStyle="1" w:styleId="ListLabel106">
    <w:name w:val="ListLabel 106"/>
    <w:rsid w:val="00ED7F17"/>
    <w:rPr>
      <w:i w:val="0"/>
      <w:iCs w:val="0"/>
    </w:rPr>
  </w:style>
  <w:style w:type="character" w:customStyle="1" w:styleId="ListLabel107">
    <w:name w:val="ListLabel 107"/>
    <w:rsid w:val="00ED7F17"/>
    <w:rPr>
      <w:i w:val="0"/>
      <w:iCs w:val="0"/>
    </w:rPr>
  </w:style>
  <w:style w:type="character" w:customStyle="1" w:styleId="ListLabel108">
    <w:name w:val="ListLabel 108"/>
    <w:rsid w:val="00ED7F17"/>
    <w:rPr>
      <w:rFonts w:ascii="Courier New" w:hAnsi="Courier New" w:cs="Courier New" w:hint="default"/>
    </w:rPr>
  </w:style>
  <w:style w:type="character" w:customStyle="1" w:styleId="ListLabel109">
    <w:name w:val="ListLabel 109"/>
    <w:rsid w:val="00ED7F17"/>
    <w:rPr>
      <w:rFonts w:ascii="Courier New" w:hAnsi="Courier New" w:cs="Courier New" w:hint="default"/>
    </w:rPr>
  </w:style>
  <w:style w:type="character" w:customStyle="1" w:styleId="ListLabel110">
    <w:name w:val="ListLabel 110"/>
    <w:rsid w:val="00ED7F17"/>
    <w:rPr>
      <w:rFonts w:ascii="Courier New" w:hAnsi="Courier New" w:cs="Courier New" w:hint="default"/>
    </w:rPr>
  </w:style>
  <w:style w:type="character" w:customStyle="1" w:styleId="ListLabel111">
    <w:name w:val="ListLabel 111"/>
    <w:rsid w:val="00ED7F17"/>
    <w:rPr>
      <w:i w:val="0"/>
      <w:iCs w:val="0"/>
    </w:rPr>
  </w:style>
  <w:style w:type="character" w:customStyle="1" w:styleId="ListLabel112">
    <w:name w:val="ListLabel 112"/>
    <w:rsid w:val="00ED7F17"/>
    <w:rPr>
      <w:b/>
      <w:bCs w:val="0"/>
      <w:i w:val="0"/>
      <w:iCs w:val="0"/>
    </w:rPr>
  </w:style>
  <w:style w:type="character" w:customStyle="1" w:styleId="ListLabel113">
    <w:name w:val="ListLabel 113"/>
    <w:rsid w:val="00ED7F17"/>
    <w:rPr>
      <w:i w:val="0"/>
      <w:iCs w:val="0"/>
    </w:rPr>
  </w:style>
  <w:style w:type="character" w:customStyle="1" w:styleId="ListLabel114">
    <w:name w:val="ListLabel 114"/>
    <w:rsid w:val="00ED7F17"/>
    <w:rPr>
      <w:rFonts w:ascii="Times New Roman" w:hAnsi="Times New Roman" w:cs="Courier New" w:hint="default"/>
      <w:sz w:val="24"/>
    </w:rPr>
  </w:style>
  <w:style w:type="character" w:customStyle="1" w:styleId="ListLabel115">
    <w:name w:val="ListLabel 115"/>
    <w:rsid w:val="00ED7F17"/>
    <w:rPr>
      <w:rFonts w:ascii="Courier New" w:hAnsi="Courier New" w:cs="Courier New" w:hint="default"/>
    </w:rPr>
  </w:style>
  <w:style w:type="character" w:customStyle="1" w:styleId="ListLabel116">
    <w:name w:val="ListLabel 116"/>
    <w:rsid w:val="00ED7F17"/>
    <w:rPr>
      <w:rFonts w:ascii="Courier New" w:hAnsi="Courier New" w:cs="Courier New" w:hint="default"/>
    </w:rPr>
  </w:style>
  <w:style w:type="character" w:customStyle="1" w:styleId="ListLabel117">
    <w:name w:val="ListLabel 117"/>
    <w:rsid w:val="00ED7F17"/>
    <w:rPr>
      <w:rFonts w:ascii="Courier New" w:hAnsi="Courier New" w:cs="Courier New" w:hint="default"/>
    </w:rPr>
  </w:style>
  <w:style w:type="character" w:customStyle="1" w:styleId="ListLabel118">
    <w:name w:val="ListLabel 118"/>
    <w:rsid w:val="00ED7F17"/>
    <w:rPr>
      <w:i w:val="0"/>
      <w:iCs w:val="0"/>
    </w:rPr>
  </w:style>
  <w:style w:type="character" w:customStyle="1" w:styleId="ListLabel119">
    <w:name w:val="ListLabel 119"/>
    <w:rsid w:val="00ED7F17"/>
    <w:rPr>
      <w:b/>
      <w:bCs w:val="0"/>
      <w:i/>
      <w:iCs w:val="0"/>
    </w:rPr>
  </w:style>
  <w:style w:type="character" w:customStyle="1" w:styleId="ListLabel120">
    <w:name w:val="ListLabel 120"/>
    <w:rsid w:val="00ED7F17"/>
    <w:rPr>
      <w:rFonts w:ascii="Times New Roman" w:hAnsi="Times New Roman" w:cs="Times New Roman" w:hint="default"/>
      <w:b/>
      <w:bCs w:val="0"/>
      <w:i/>
      <w:iCs w:val="0"/>
      <w:sz w:val="24"/>
    </w:rPr>
  </w:style>
  <w:style w:type="character" w:customStyle="1" w:styleId="ListLabel121">
    <w:name w:val="ListLabel 121"/>
    <w:rsid w:val="00ED7F17"/>
    <w:rPr>
      <w:b/>
      <w:bCs w:val="0"/>
      <w:i/>
      <w:iCs w:val="0"/>
    </w:rPr>
  </w:style>
  <w:style w:type="character" w:customStyle="1" w:styleId="ListLabel122">
    <w:name w:val="ListLabel 122"/>
    <w:rsid w:val="00ED7F17"/>
    <w:rPr>
      <w:b/>
      <w:bCs w:val="0"/>
      <w:i/>
      <w:iCs w:val="0"/>
    </w:rPr>
  </w:style>
  <w:style w:type="character" w:customStyle="1" w:styleId="ListLabel123">
    <w:name w:val="ListLabel 123"/>
    <w:rsid w:val="00ED7F17"/>
    <w:rPr>
      <w:b/>
      <w:bCs w:val="0"/>
      <w:i/>
      <w:iCs w:val="0"/>
    </w:rPr>
  </w:style>
  <w:style w:type="character" w:customStyle="1" w:styleId="ListLabel124">
    <w:name w:val="ListLabel 124"/>
    <w:rsid w:val="00ED7F17"/>
    <w:rPr>
      <w:b/>
      <w:bCs w:val="0"/>
      <w:i/>
      <w:iCs w:val="0"/>
    </w:rPr>
  </w:style>
  <w:style w:type="character" w:customStyle="1" w:styleId="ListLabel125">
    <w:name w:val="ListLabel 125"/>
    <w:rsid w:val="00ED7F17"/>
    <w:rPr>
      <w:b/>
      <w:bCs w:val="0"/>
      <w:i/>
      <w:iCs w:val="0"/>
    </w:rPr>
  </w:style>
  <w:style w:type="character" w:customStyle="1" w:styleId="ListLabel126">
    <w:name w:val="ListLabel 126"/>
    <w:rsid w:val="00ED7F17"/>
    <w:rPr>
      <w:b/>
      <w:bCs w:val="0"/>
      <w:i/>
      <w:iCs w:val="0"/>
    </w:rPr>
  </w:style>
  <w:style w:type="character" w:customStyle="1" w:styleId="ListLabel127">
    <w:name w:val="ListLabel 127"/>
    <w:rsid w:val="00ED7F17"/>
    <w:rPr>
      <w:b/>
      <w:bCs w:val="0"/>
      <w:i/>
      <w:iCs w:val="0"/>
    </w:rPr>
  </w:style>
  <w:style w:type="character" w:customStyle="1" w:styleId="ListLabel128">
    <w:name w:val="ListLabel 128"/>
    <w:rsid w:val="00ED7F17"/>
    <w:rPr>
      <w:i w:val="0"/>
      <w:iCs w:val="0"/>
    </w:rPr>
  </w:style>
  <w:style w:type="character" w:customStyle="1" w:styleId="ListLabel129">
    <w:name w:val="ListLabel 129"/>
    <w:rsid w:val="00ED7F17"/>
    <w:rPr>
      <w:rFonts w:ascii="Times New Roman" w:hAnsi="Times New Roman" w:cs="Times New Roman" w:hint="default"/>
      <w:strike w:val="0"/>
      <w:dstrike w:val="0"/>
      <w:sz w:val="24"/>
      <w:u w:val="none"/>
      <w:effect w:val="none"/>
    </w:rPr>
  </w:style>
  <w:style w:type="character" w:customStyle="1" w:styleId="ListLabel130">
    <w:name w:val="ListLabel 130"/>
    <w:rsid w:val="00ED7F17"/>
    <w:rPr>
      <w:strike w:val="0"/>
      <w:dstrike w:val="0"/>
      <w:u w:val="none"/>
      <w:effect w:val="none"/>
    </w:rPr>
  </w:style>
  <w:style w:type="character" w:customStyle="1" w:styleId="ListLabel131">
    <w:name w:val="ListLabel 131"/>
    <w:rsid w:val="00ED7F17"/>
    <w:rPr>
      <w:strike w:val="0"/>
      <w:dstrike w:val="0"/>
      <w:u w:val="none"/>
      <w:effect w:val="none"/>
    </w:rPr>
  </w:style>
  <w:style w:type="character" w:customStyle="1" w:styleId="ListLabel132">
    <w:name w:val="ListLabel 132"/>
    <w:rsid w:val="00ED7F17"/>
    <w:rPr>
      <w:strike w:val="0"/>
      <w:dstrike w:val="0"/>
      <w:u w:val="none"/>
      <w:effect w:val="none"/>
    </w:rPr>
  </w:style>
  <w:style w:type="character" w:customStyle="1" w:styleId="ListLabel133">
    <w:name w:val="ListLabel 133"/>
    <w:rsid w:val="00ED7F17"/>
    <w:rPr>
      <w:strike w:val="0"/>
      <w:dstrike w:val="0"/>
      <w:u w:val="none"/>
      <w:effect w:val="none"/>
    </w:rPr>
  </w:style>
  <w:style w:type="character" w:customStyle="1" w:styleId="ListLabel134">
    <w:name w:val="ListLabel 134"/>
    <w:rsid w:val="00ED7F17"/>
    <w:rPr>
      <w:strike w:val="0"/>
      <w:dstrike w:val="0"/>
      <w:u w:val="none"/>
      <w:effect w:val="none"/>
    </w:rPr>
  </w:style>
  <w:style w:type="character" w:customStyle="1" w:styleId="ListLabel135">
    <w:name w:val="ListLabel 135"/>
    <w:rsid w:val="00ED7F17"/>
    <w:rPr>
      <w:strike w:val="0"/>
      <w:dstrike w:val="0"/>
      <w:u w:val="none"/>
      <w:effect w:val="none"/>
    </w:rPr>
  </w:style>
  <w:style w:type="character" w:customStyle="1" w:styleId="ListLabel136">
    <w:name w:val="ListLabel 136"/>
    <w:rsid w:val="00ED7F17"/>
    <w:rPr>
      <w:strike w:val="0"/>
      <w:dstrike w:val="0"/>
      <w:u w:val="none"/>
      <w:effect w:val="none"/>
    </w:rPr>
  </w:style>
  <w:style w:type="character" w:customStyle="1" w:styleId="ListLabel137">
    <w:name w:val="ListLabel 137"/>
    <w:rsid w:val="00ED7F17"/>
    <w:rPr>
      <w:strike w:val="0"/>
      <w:dstrike w:val="0"/>
      <w:u w:val="none"/>
      <w:effect w:val="none"/>
    </w:rPr>
  </w:style>
  <w:style w:type="character" w:customStyle="1" w:styleId="ListLabel138">
    <w:name w:val="ListLabel 138"/>
    <w:rsid w:val="00ED7F17"/>
    <w:rPr>
      <w:rFonts w:ascii="Times New Roman" w:hAnsi="Times New Roman" w:cs="Times New Roman" w:hint="default"/>
      <w:strike w:val="0"/>
      <w:dstrike w:val="0"/>
      <w:sz w:val="24"/>
      <w:u w:val="none"/>
      <w:effect w:val="none"/>
    </w:rPr>
  </w:style>
  <w:style w:type="character" w:customStyle="1" w:styleId="ListLabel139">
    <w:name w:val="ListLabel 139"/>
    <w:rsid w:val="00ED7F17"/>
    <w:rPr>
      <w:strike w:val="0"/>
      <w:dstrike w:val="0"/>
      <w:u w:val="none"/>
      <w:effect w:val="none"/>
    </w:rPr>
  </w:style>
  <w:style w:type="character" w:customStyle="1" w:styleId="ListLabel140">
    <w:name w:val="ListLabel 140"/>
    <w:rsid w:val="00ED7F17"/>
    <w:rPr>
      <w:strike w:val="0"/>
      <w:dstrike w:val="0"/>
      <w:u w:val="none"/>
      <w:effect w:val="none"/>
    </w:rPr>
  </w:style>
  <w:style w:type="character" w:customStyle="1" w:styleId="ListLabel141">
    <w:name w:val="ListLabel 141"/>
    <w:rsid w:val="00ED7F17"/>
    <w:rPr>
      <w:strike w:val="0"/>
      <w:dstrike w:val="0"/>
      <w:u w:val="none"/>
      <w:effect w:val="none"/>
    </w:rPr>
  </w:style>
  <w:style w:type="character" w:customStyle="1" w:styleId="ListLabel142">
    <w:name w:val="ListLabel 142"/>
    <w:rsid w:val="00ED7F17"/>
    <w:rPr>
      <w:strike w:val="0"/>
      <w:dstrike w:val="0"/>
      <w:u w:val="none"/>
      <w:effect w:val="none"/>
    </w:rPr>
  </w:style>
  <w:style w:type="character" w:customStyle="1" w:styleId="ListLabel143">
    <w:name w:val="ListLabel 143"/>
    <w:rsid w:val="00ED7F17"/>
    <w:rPr>
      <w:strike w:val="0"/>
      <w:dstrike w:val="0"/>
      <w:u w:val="none"/>
      <w:effect w:val="none"/>
    </w:rPr>
  </w:style>
  <w:style w:type="character" w:customStyle="1" w:styleId="ListLabel144">
    <w:name w:val="ListLabel 144"/>
    <w:rsid w:val="00ED7F17"/>
    <w:rPr>
      <w:strike w:val="0"/>
      <w:dstrike w:val="0"/>
      <w:u w:val="none"/>
      <w:effect w:val="none"/>
    </w:rPr>
  </w:style>
  <w:style w:type="character" w:customStyle="1" w:styleId="ListLabel145">
    <w:name w:val="ListLabel 145"/>
    <w:rsid w:val="00ED7F17"/>
    <w:rPr>
      <w:strike w:val="0"/>
      <w:dstrike w:val="0"/>
      <w:u w:val="none"/>
      <w:effect w:val="none"/>
    </w:rPr>
  </w:style>
  <w:style w:type="character" w:customStyle="1" w:styleId="ListLabel146">
    <w:name w:val="ListLabel 146"/>
    <w:rsid w:val="00ED7F17"/>
    <w:rPr>
      <w:strike w:val="0"/>
      <w:dstrike w:val="0"/>
      <w:u w:val="none"/>
      <w:effect w:val="none"/>
    </w:rPr>
  </w:style>
  <w:style w:type="character" w:customStyle="1" w:styleId="ListLabel147">
    <w:name w:val="ListLabel 147"/>
    <w:rsid w:val="00ED7F17"/>
    <w:rPr>
      <w:rFonts w:ascii="Courier New" w:hAnsi="Courier New" w:cs="Courier New" w:hint="default"/>
    </w:rPr>
  </w:style>
  <w:style w:type="character" w:customStyle="1" w:styleId="ListLabel148">
    <w:name w:val="ListLabel 148"/>
    <w:rsid w:val="00ED7F17"/>
    <w:rPr>
      <w:rFonts w:ascii="Courier New" w:hAnsi="Courier New" w:cs="Courier New" w:hint="default"/>
    </w:rPr>
  </w:style>
  <w:style w:type="character" w:customStyle="1" w:styleId="ListLabel149">
    <w:name w:val="ListLabel 149"/>
    <w:rsid w:val="00ED7F17"/>
    <w:rPr>
      <w:rFonts w:ascii="Courier New" w:hAnsi="Courier New" w:cs="Courier New" w:hint="default"/>
    </w:rPr>
  </w:style>
  <w:style w:type="character" w:customStyle="1" w:styleId="ListLabel150">
    <w:name w:val="ListLabel 150"/>
    <w:rsid w:val="00ED7F17"/>
    <w:rPr>
      <w:rFonts w:ascii="Courier New" w:hAnsi="Courier New" w:cs="Courier New" w:hint="default"/>
    </w:rPr>
  </w:style>
  <w:style w:type="character" w:customStyle="1" w:styleId="ListLabel151">
    <w:name w:val="ListLabel 151"/>
    <w:rsid w:val="00ED7F17"/>
    <w:rPr>
      <w:rFonts w:ascii="Courier New" w:hAnsi="Courier New" w:cs="Courier New" w:hint="default"/>
    </w:rPr>
  </w:style>
  <w:style w:type="character" w:customStyle="1" w:styleId="ListLabel152">
    <w:name w:val="ListLabel 152"/>
    <w:rsid w:val="00ED7F17"/>
    <w:rPr>
      <w:rFonts w:ascii="Courier New" w:hAnsi="Courier New" w:cs="Courier New" w:hint="default"/>
    </w:rPr>
  </w:style>
  <w:style w:type="character" w:customStyle="1" w:styleId="ListLabel153">
    <w:name w:val="ListLabel 153"/>
    <w:rsid w:val="00ED7F17"/>
    <w:rPr>
      <w:rFonts w:ascii="Courier New" w:hAnsi="Courier New" w:cs="Courier New" w:hint="default"/>
    </w:rPr>
  </w:style>
  <w:style w:type="character" w:customStyle="1" w:styleId="ListLabel154">
    <w:name w:val="ListLabel 154"/>
    <w:rsid w:val="00ED7F17"/>
    <w:rPr>
      <w:rFonts w:ascii="Courier New" w:hAnsi="Courier New" w:cs="Courier New" w:hint="default"/>
    </w:rPr>
  </w:style>
  <w:style w:type="character" w:customStyle="1" w:styleId="ListLabel155">
    <w:name w:val="ListLabel 155"/>
    <w:rsid w:val="00ED7F17"/>
    <w:rPr>
      <w:rFonts w:ascii="Courier New" w:hAnsi="Courier New" w:cs="Courier New" w:hint="default"/>
    </w:rPr>
  </w:style>
  <w:style w:type="character" w:customStyle="1" w:styleId="ListLabel156">
    <w:name w:val="ListLabel 156"/>
    <w:rsid w:val="00ED7F17"/>
    <w:rPr>
      <w:rFonts w:ascii="Courier New" w:hAnsi="Courier New" w:cs="Courier New" w:hint="default"/>
    </w:rPr>
  </w:style>
  <w:style w:type="character" w:customStyle="1" w:styleId="ListLabel157">
    <w:name w:val="ListLabel 157"/>
    <w:rsid w:val="00ED7F17"/>
    <w:rPr>
      <w:rFonts w:ascii="Courier New" w:hAnsi="Courier New" w:cs="Courier New" w:hint="default"/>
    </w:rPr>
  </w:style>
  <w:style w:type="character" w:customStyle="1" w:styleId="ListLabel158">
    <w:name w:val="ListLabel 158"/>
    <w:rsid w:val="00ED7F17"/>
    <w:rPr>
      <w:rFonts w:ascii="Courier New" w:hAnsi="Courier New" w:cs="Courier New" w:hint="default"/>
    </w:rPr>
  </w:style>
  <w:style w:type="character" w:customStyle="1" w:styleId="ListLabel159">
    <w:name w:val="ListLabel 159"/>
    <w:rsid w:val="00ED7F17"/>
    <w:rPr>
      <w:rFonts w:ascii="Courier New" w:hAnsi="Courier New" w:cs="Courier New" w:hint="default"/>
    </w:rPr>
  </w:style>
  <w:style w:type="character" w:customStyle="1" w:styleId="ListLabel160">
    <w:name w:val="ListLabel 160"/>
    <w:rsid w:val="00ED7F17"/>
    <w:rPr>
      <w:rFonts w:ascii="Courier New" w:hAnsi="Courier New" w:cs="Courier New" w:hint="default"/>
    </w:rPr>
  </w:style>
  <w:style w:type="character" w:customStyle="1" w:styleId="ListLabel161">
    <w:name w:val="ListLabel 161"/>
    <w:rsid w:val="00ED7F17"/>
    <w:rPr>
      <w:rFonts w:ascii="Courier New" w:hAnsi="Courier New" w:cs="Courier New" w:hint="default"/>
    </w:rPr>
  </w:style>
  <w:style w:type="character" w:customStyle="1" w:styleId="affc">
    <w:name w:val="Ссылка указателя"/>
    <w:rsid w:val="00ED7F17"/>
  </w:style>
  <w:style w:type="character" w:customStyle="1" w:styleId="ListLabel162">
    <w:name w:val="ListLabel 162"/>
    <w:rsid w:val="00ED7F17"/>
    <w:rPr>
      <w:rFonts w:ascii="Times New Roman" w:hAnsi="Times New Roman" w:cs="Wingdings" w:hint="default"/>
      <w:strike w:val="0"/>
      <w:dstrike w:val="0"/>
      <w:sz w:val="24"/>
      <w:u w:val="none"/>
      <w:effect w:val="none"/>
    </w:rPr>
  </w:style>
  <w:style w:type="character" w:customStyle="1" w:styleId="ListLabel163">
    <w:name w:val="ListLabel 163"/>
    <w:rsid w:val="00ED7F17"/>
    <w:rPr>
      <w:rFonts w:ascii="Wingdings 2" w:hAnsi="Wingdings 2" w:cs="Wingdings 2" w:hint="default"/>
      <w:strike w:val="0"/>
      <w:dstrike w:val="0"/>
      <w:u w:val="none"/>
      <w:effect w:val="none"/>
    </w:rPr>
  </w:style>
  <w:style w:type="character" w:customStyle="1" w:styleId="ListLabel164">
    <w:name w:val="ListLabel 164"/>
    <w:rsid w:val="00ED7F17"/>
    <w:rPr>
      <w:rFonts w:ascii="OpenSymbol" w:hAnsi="OpenSymbol" w:cs="OpenSymbol" w:hint="default"/>
      <w:strike w:val="0"/>
      <w:dstrike w:val="0"/>
      <w:u w:val="none"/>
      <w:effect w:val="none"/>
    </w:rPr>
  </w:style>
  <w:style w:type="character" w:customStyle="1" w:styleId="ListLabel165">
    <w:name w:val="ListLabel 165"/>
    <w:rsid w:val="00ED7F17"/>
    <w:rPr>
      <w:rFonts w:ascii="Wingdings" w:hAnsi="Wingdings" w:cs="Wingdings" w:hint="default"/>
      <w:strike w:val="0"/>
      <w:dstrike w:val="0"/>
      <w:u w:val="none"/>
      <w:effect w:val="none"/>
    </w:rPr>
  </w:style>
  <w:style w:type="character" w:customStyle="1" w:styleId="ListLabel166">
    <w:name w:val="ListLabel 166"/>
    <w:rsid w:val="00ED7F17"/>
    <w:rPr>
      <w:rFonts w:ascii="Wingdings 2" w:hAnsi="Wingdings 2" w:cs="Wingdings 2" w:hint="default"/>
      <w:strike w:val="0"/>
      <w:dstrike w:val="0"/>
      <w:u w:val="none"/>
      <w:effect w:val="none"/>
    </w:rPr>
  </w:style>
  <w:style w:type="character" w:customStyle="1" w:styleId="ListLabel167">
    <w:name w:val="ListLabel 167"/>
    <w:rsid w:val="00ED7F17"/>
    <w:rPr>
      <w:rFonts w:ascii="OpenSymbol" w:hAnsi="OpenSymbol" w:cs="OpenSymbol" w:hint="default"/>
      <w:strike w:val="0"/>
      <w:dstrike w:val="0"/>
      <w:u w:val="none"/>
      <w:effect w:val="none"/>
    </w:rPr>
  </w:style>
  <w:style w:type="character" w:customStyle="1" w:styleId="ListLabel168">
    <w:name w:val="ListLabel 168"/>
    <w:rsid w:val="00ED7F17"/>
    <w:rPr>
      <w:rFonts w:ascii="Wingdings" w:hAnsi="Wingdings" w:cs="Wingdings" w:hint="default"/>
      <w:strike w:val="0"/>
      <w:dstrike w:val="0"/>
      <w:u w:val="none"/>
      <w:effect w:val="none"/>
    </w:rPr>
  </w:style>
  <w:style w:type="character" w:customStyle="1" w:styleId="ListLabel169">
    <w:name w:val="ListLabel 169"/>
    <w:rsid w:val="00ED7F17"/>
    <w:rPr>
      <w:rFonts w:ascii="Wingdings 2" w:hAnsi="Wingdings 2" w:cs="Wingdings 2" w:hint="default"/>
      <w:strike w:val="0"/>
      <w:dstrike w:val="0"/>
      <w:u w:val="none"/>
      <w:effect w:val="none"/>
    </w:rPr>
  </w:style>
  <w:style w:type="character" w:customStyle="1" w:styleId="ListLabel170">
    <w:name w:val="ListLabel 170"/>
    <w:rsid w:val="00ED7F17"/>
    <w:rPr>
      <w:rFonts w:ascii="OpenSymbol" w:hAnsi="OpenSymbol" w:cs="OpenSymbol" w:hint="default"/>
      <w:strike w:val="0"/>
      <w:dstrike w:val="0"/>
      <w:u w:val="none"/>
      <w:effect w:val="none"/>
    </w:rPr>
  </w:style>
  <w:style w:type="character" w:customStyle="1" w:styleId="ListLabel171">
    <w:name w:val="ListLabel 171"/>
    <w:rsid w:val="00ED7F17"/>
    <w:rPr>
      <w:rFonts w:ascii="Times New Roman" w:hAnsi="Times New Roman" w:cs="Wingdings" w:hint="default"/>
      <w:strike w:val="0"/>
      <w:dstrike w:val="0"/>
      <w:sz w:val="24"/>
      <w:u w:val="none"/>
      <w:effect w:val="none"/>
    </w:rPr>
  </w:style>
  <w:style w:type="character" w:customStyle="1" w:styleId="ListLabel172">
    <w:name w:val="ListLabel 172"/>
    <w:rsid w:val="00ED7F17"/>
    <w:rPr>
      <w:rFonts w:ascii="Wingdings 2" w:hAnsi="Wingdings 2" w:cs="Wingdings 2" w:hint="default"/>
      <w:strike w:val="0"/>
      <w:dstrike w:val="0"/>
      <w:u w:val="none"/>
      <w:effect w:val="none"/>
    </w:rPr>
  </w:style>
  <w:style w:type="character" w:customStyle="1" w:styleId="ListLabel173">
    <w:name w:val="ListLabel 173"/>
    <w:rsid w:val="00ED7F17"/>
    <w:rPr>
      <w:rFonts w:ascii="OpenSymbol" w:hAnsi="OpenSymbol" w:cs="OpenSymbol" w:hint="default"/>
      <w:strike w:val="0"/>
      <w:dstrike w:val="0"/>
      <w:u w:val="none"/>
      <w:effect w:val="none"/>
    </w:rPr>
  </w:style>
  <w:style w:type="character" w:customStyle="1" w:styleId="ListLabel174">
    <w:name w:val="ListLabel 174"/>
    <w:rsid w:val="00ED7F17"/>
    <w:rPr>
      <w:rFonts w:ascii="Wingdings" w:hAnsi="Wingdings" w:cs="Wingdings" w:hint="default"/>
      <w:strike w:val="0"/>
      <w:dstrike w:val="0"/>
      <w:u w:val="none"/>
      <w:effect w:val="none"/>
    </w:rPr>
  </w:style>
  <w:style w:type="character" w:customStyle="1" w:styleId="ListLabel175">
    <w:name w:val="ListLabel 175"/>
    <w:rsid w:val="00ED7F17"/>
    <w:rPr>
      <w:rFonts w:ascii="Wingdings 2" w:hAnsi="Wingdings 2" w:cs="Wingdings 2" w:hint="default"/>
      <w:strike w:val="0"/>
      <w:dstrike w:val="0"/>
      <w:u w:val="none"/>
      <w:effect w:val="none"/>
    </w:rPr>
  </w:style>
  <w:style w:type="character" w:customStyle="1" w:styleId="ListLabel176">
    <w:name w:val="ListLabel 176"/>
    <w:rsid w:val="00ED7F17"/>
    <w:rPr>
      <w:rFonts w:ascii="OpenSymbol" w:hAnsi="OpenSymbol" w:cs="OpenSymbol" w:hint="default"/>
      <w:strike w:val="0"/>
      <w:dstrike w:val="0"/>
      <w:u w:val="none"/>
      <w:effect w:val="none"/>
    </w:rPr>
  </w:style>
  <w:style w:type="character" w:customStyle="1" w:styleId="ListLabel177">
    <w:name w:val="ListLabel 177"/>
    <w:rsid w:val="00ED7F17"/>
    <w:rPr>
      <w:rFonts w:ascii="Wingdings" w:hAnsi="Wingdings" w:cs="Wingdings" w:hint="default"/>
      <w:strike w:val="0"/>
      <w:dstrike w:val="0"/>
      <w:u w:val="none"/>
      <w:effect w:val="none"/>
    </w:rPr>
  </w:style>
  <w:style w:type="character" w:customStyle="1" w:styleId="ListLabel178">
    <w:name w:val="ListLabel 178"/>
    <w:rsid w:val="00ED7F17"/>
    <w:rPr>
      <w:rFonts w:ascii="Wingdings 2" w:hAnsi="Wingdings 2" w:cs="Wingdings 2" w:hint="default"/>
      <w:strike w:val="0"/>
      <w:dstrike w:val="0"/>
      <w:u w:val="none"/>
      <w:effect w:val="none"/>
    </w:rPr>
  </w:style>
  <w:style w:type="character" w:customStyle="1" w:styleId="ListLabel179">
    <w:name w:val="ListLabel 179"/>
    <w:rsid w:val="00ED7F17"/>
    <w:rPr>
      <w:rFonts w:ascii="OpenSymbol" w:hAnsi="OpenSymbol" w:cs="OpenSymbol" w:hint="default"/>
      <w:strike w:val="0"/>
      <w:dstrike w:val="0"/>
      <w:u w:val="none"/>
      <w:effect w:val="none"/>
    </w:rPr>
  </w:style>
  <w:style w:type="character" w:customStyle="1" w:styleId="ListLabel180">
    <w:name w:val="ListLabel 180"/>
    <w:rsid w:val="00ED7F17"/>
    <w:rPr>
      <w:rFonts w:ascii="Times New Roman" w:hAnsi="Times New Roman" w:cs="Wingdings" w:hint="default"/>
      <w:strike w:val="0"/>
      <w:dstrike w:val="0"/>
      <w:sz w:val="24"/>
      <w:u w:val="none"/>
      <w:effect w:val="none"/>
    </w:rPr>
  </w:style>
  <w:style w:type="character" w:customStyle="1" w:styleId="ListLabel181">
    <w:name w:val="ListLabel 181"/>
    <w:rsid w:val="00ED7F17"/>
    <w:rPr>
      <w:rFonts w:ascii="Wingdings 2" w:hAnsi="Wingdings 2" w:cs="Wingdings 2" w:hint="default"/>
      <w:strike w:val="0"/>
      <w:dstrike w:val="0"/>
      <w:u w:val="none"/>
      <w:effect w:val="none"/>
    </w:rPr>
  </w:style>
  <w:style w:type="character" w:customStyle="1" w:styleId="ListLabel182">
    <w:name w:val="ListLabel 182"/>
    <w:rsid w:val="00ED7F17"/>
    <w:rPr>
      <w:rFonts w:ascii="OpenSymbol" w:hAnsi="OpenSymbol" w:cs="OpenSymbol" w:hint="default"/>
      <w:strike w:val="0"/>
      <w:dstrike w:val="0"/>
      <w:u w:val="none"/>
      <w:effect w:val="none"/>
    </w:rPr>
  </w:style>
  <w:style w:type="character" w:customStyle="1" w:styleId="ListLabel183">
    <w:name w:val="ListLabel 183"/>
    <w:rsid w:val="00ED7F17"/>
    <w:rPr>
      <w:rFonts w:ascii="Wingdings" w:hAnsi="Wingdings" w:cs="Wingdings" w:hint="default"/>
      <w:strike w:val="0"/>
      <w:dstrike w:val="0"/>
      <w:u w:val="none"/>
      <w:effect w:val="none"/>
    </w:rPr>
  </w:style>
  <w:style w:type="character" w:customStyle="1" w:styleId="ListLabel184">
    <w:name w:val="ListLabel 184"/>
    <w:rsid w:val="00ED7F17"/>
    <w:rPr>
      <w:rFonts w:ascii="Wingdings 2" w:hAnsi="Wingdings 2" w:cs="Wingdings 2" w:hint="default"/>
      <w:strike w:val="0"/>
      <w:dstrike w:val="0"/>
      <w:u w:val="none"/>
      <w:effect w:val="none"/>
    </w:rPr>
  </w:style>
  <w:style w:type="character" w:customStyle="1" w:styleId="ListLabel185">
    <w:name w:val="ListLabel 185"/>
    <w:rsid w:val="00ED7F17"/>
    <w:rPr>
      <w:rFonts w:ascii="OpenSymbol" w:hAnsi="OpenSymbol" w:cs="OpenSymbol" w:hint="default"/>
      <w:strike w:val="0"/>
      <w:dstrike w:val="0"/>
      <w:u w:val="none"/>
      <w:effect w:val="none"/>
    </w:rPr>
  </w:style>
  <w:style w:type="character" w:customStyle="1" w:styleId="ListLabel186">
    <w:name w:val="ListLabel 186"/>
    <w:rsid w:val="00ED7F17"/>
    <w:rPr>
      <w:rFonts w:ascii="Wingdings" w:hAnsi="Wingdings" w:cs="Wingdings" w:hint="default"/>
      <w:strike w:val="0"/>
      <w:dstrike w:val="0"/>
      <w:u w:val="none"/>
      <w:effect w:val="none"/>
    </w:rPr>
  </w:style>
  <w:style w:type="character" w:customStyle="1" w:styleId="ListLabel187">
    <w:name w:val="ListLabel 187"/>
    <w:rsid w:val="00ED7F17"/>
    <w:rPr>
      <w:rFonts w:ascii="Wingdings 2" w:hAnsi="Wingdings 2" w:cs="Wingdings 2" w:hint="default"/>
      <w:strike w:val="0"/>
      <w:dstrike w:val="0"/>
      <w:u w:val="none"/>
      <w:effect w:val="none"/>
    </w:rPr>
  </w:style>
  <w:style w:type="character" w:customStyle="1" w:styleId="ListLabel188">
    <w:name w:val="ListLabel 188"/>
    <w:rsid w:val="00ED7F17"/>
    <w:rPr>
      <w:rFonts w:ascii="OpenSymbol" w:hAnsi="OpenSymbol" w:cs="OpenSymbol" w:hint="default"/>
      <w:strike w:val="0"/>
      <w:dstrike w:val="0"/>
      <w:u w:val="none"/>
      <w:effect w:val="none"/>
    </w:rPr>
  </w:style>
  <w:style w:type="character" w:customStyle="1" w:styleId="ListLabel189">
    <w:name w:val="ListLabel 189"/>
    <w:rsid w:val="00ED7F17"/>
    <w:rPr>
      <w:rFonts w:ascii="Times New Roman" w:hAnsi="Times New Roman" w:cs="Wingdings" w:hint="default"/>
      <w:strike w:val="0"/>
      <w:dstrike w:val="0"/>
      <w:sz w:val="24"/>
      <w:u w:val="none"/>
      <w:effect w:val="none"/>
    </w:rPr>
  </w:style>
  <w:style w:type="character" w:customStyle="1" w:styleId="ListLabel190">
    <w:name w:val="ListLabel 190"/>
    <w:rsid w:val="00ED7F17"/>
    <w:rPr>
      <w:rFonts w:ascii="Wingdings 2" w:hAnsi="Wingdings 2" w:cs="Wingdings 2" w:hint="default"/>
      <w:strike w:val="0"/>
      <w:dstrike w:val="0"/>
      <w:u w:val="none"/>
      <w:effect w:val="none"/>
    </w:rPr>
  </w:style>
  <w:style w:type="character" w:customStyle="1" w:styleId="ListLabel191">
    <w:name w:val="ListLabel 191"/>
    <w:rsid w:val="00ED7F17"/>
    <w:rPr>
      <w:rFonts w:ascii="OpenSymbol" w:hAnsi="OpenSymbol" w:cs="OpenSymbol" w:hint="default"/>
      <w:strike w:val="0"/>
      <w:dstrike w:val="0"/>
      <w:u w:val="none"/>
      <w:effect w:val="none"/>
    </w:rPr>
  </w:style>
  <w:style w:type="character" w:customStyle="1" w:styleId="ListLabel192">
    <w:name w:val="ListLabel 192"/>
    <w:rsid w:val="00ED7F17"/>
    <w:rPr>
      <w:rFonts w:ascii="Wingdings" w:hAnsi="Wingdings" w:cs="Wingdings" w:hint="default"/>
      <w:strike w:val="0"/>
      <w:dstrike w:val="0"/>
      <w:u w:val="none"/>
      <w:effect w:val="none"/>
    </w:rPr>
  </w:style>
  <w:style w:type="character" w:customStyle="1" w:styleId="ListLabel193">
    <w:name w:val="ListLabel 193"/>
    <w:rsid w:val="00ED7F17"/>
    <w:rPr>
      <w:rFonts w:ascii="Wingdings 2" w:hAnsi="Wingdings 2" w:cs="Wingdings 2" w:hint="default"/>
      <w:strike w:val="0"/>
      <w:dstrike w:val="0"/>
      <w:u w:val="none"/>
      <w:effect w:val="none"/>
    </w:rPr>
  </w:style>
  <w:style w:type="character" w:customStyle="1" w:styleId="ListLabel194">
    <w:name w:val="ListLabel 194"/>
    <w:rsid w:val="00ED7F17"/>
    <w:rPr>
      <w:rFonts w:ascii="OpenSymbol" w:hAnsi="OpenSymbol" w:cs="OpenSymbol" w:hint="default"/>
      <w:strike w:val="0"/>
      <w:dstrike w:val="0"/>
      <w:u w:val="none"/>
      <w:effect w:val="none"/>
    </w:rPr>
  </w:style>
  <w:style w:type="character" w:customStyle="1" w:styleId="ListLabel195">
    <w:name w:val="ListLabel 195"/>
    <w:rsid w:val="00ED7F17"/>
    <w:rPr>
      <w:rFonts w:ascii="Wingdings" w:hAnsi="Wingdings" w:cs="Wingdings" w:hint="default"/>
      <w:strike w:val="0"/>
      <w:dstrike w:val="0"/>
      <w:u w:val="none"/>
      <w:effect w:val="none"/>
    </w:rPr>
  </w:style>
  <w:style w:type="character" w:customStyle="1" w:styleId="ListLabel196">
    <w:name w:val="ListLabel 196"/>
    <w:rsid w:val="00ED7F17"/>
    <w:rPr>
      <w:rFonts w:ascii="Wingdings 2" w:hAnsi="Wingdings 2" w:cs="Wingdings 2" w:hint="default"/>
      <w:strike w:val="0"/>
      <w:dstrike w:val="0"/>
      <w:u w:val="none"/>
      <w:effect w:val="none"/>
    </w:rPr>
  </w:style>
  <w:style w:type="character" w:customStyle="1" w:styleId="ListLabel197">
    <w:name w:val="ListLabel 197"/>
    <w:rsid w:val="00ED7F17"/>
    <w:rPr>
      <w:rFonts w:ascii="OpenSymbol" w:hAnsi="OpenSymbol" w:cs="OpenSymbol" w:hint="default"/>
      <w:strike w:val="0"/>
      <w:dstrike w:val="0"/>
      <w:u w:val="none"/>
      <w:effect w:val="none"/>
    </w:rPr>
  </w:style>
  <w:style w:type="character" w:customStyle="1" w:styleId="ListLabel198">
    <w:name w:val="ListLabel 198"/>
    <w:rsid w:val="00ED7F17"/>
    <w:rPr>
      <w:rFonts w:ascii="Times New Roman" w:hAnsi="Times New Roman" w:cs="Wingdings" w:hint="default"/>
      <w:strike w:val="0"/>
      <w:dstrike w:val="0"/>
      <w:sz w:val="24"/>
      <w:u w:val="none"/>
      <w:effect w:val="none"/>
    </w:rPr>
  </w:style>
  <w:style w:type="character" w:customStyle="1" w:styleId="ListLabel199">
    <w:name w:val="ListLabel 199"/>
    <w:rsid w:val="00ED7F17"/>
    <w:rPr>
      <w:rFonts w:ascii="Wingdings 2" w:hAnsi="Wingdings 2" w:cs="Wingdings 2" w:hint="default"/>
      <w:strike w:val="0"/>
      <w:dstrike w:val="0"/>
      <w:u w:val="none"/>
      <w:effect w:val="none"/>
    </w:rPr>
  </w:style>
  <w:style w:type="character" w:customStyle="1" w:styleId="ListLabel200">
    <w:name w:val="ListLabel 200"/>
    <w:rsid w:val="00ED7F17"/>
    <w:rPr>
      <w:rFonts w:ascii="OpenSymbol" w:hAnsi="OpenSymbol" w:cs="OpenSymbol" w:hint="default"/>
      <w:strike w:val="0"/>
      <w:dstrike w:val="0"/>
      <w:u w:val="none"/>
      <w:effect w:val="none"/>
    </w:rPr>
  </w:style>
  <w:style w:type="character" w:customStyle="1" w:styleId="ListLabel201">
    <w:name w:val="ListLabel 201"/>
    <w:rsid w:val="00ED7F17"/>
    <w:rPr>
      <w:rFonts w:ascii="Wingdings" w:hAnsi="Wingdings" w:cs="Wingdings" w:hint="default"/>
      <w:strike w:val="0"/>
      <w:dstrike w:val="0"/>
      <w:u w:val="none"/>
      <w:effect w:val="none"/>
    </w:rPr>
  </w:style>
  <w:style w:type="character" w:customStyle="1" w:styleId="ListLabel202">
    <w:name w:val="ListLabel 202"/>
    <w:rsid w:val="00ED7F17"/>
    <w:rPr>
      <w:rFonts w:ascii="Wingdings 2" w:hAnsi="Wingdings 2" w:cs="Wingdings 2" w:hint="default"/>
      <w:strike w:val="0"/>
      <w:dstrike w:val="0"/>
      <w:u w:val="none"/>
      <w:effect w:val="none"/>
    </w:rPr>
  </w:style>
  <w:style w:type="character" w:customStyle="1" w:styleId="ListLabel203">
    <w:name w:val="ListLabel 203"/>
    <w:rsid w:val="00ED7F17"/>
    <w:rPr>
      <w:rFonts w:ascii="OpenSymbol" w:hAnsi="OpenSymbol" w:cs="OpenSymbol" w:hint="default"/>
      <w:strike w:val="0"/>
      <w:dstrike w:val="0"/>
      <w:u w:val="none"/>
      <w:effect w:val="none"/>
    </w:rPr>
  </w:style>
  <w:style w:type="character" w:customStyle="1" w:styleId="ListLabel204">
    <w:name w:val="ListLabel 204"/>
    <w:rsid w:val="00ED7F17"/>
    <w:rPr>
      <w:rFonts w:ascii="Wingdings" w:hAnsi="Wingdings" w:cs="Wingdings" w:hint="default"/>
      <w:strike w:val="0"/>
      <w:dstrike w:val="0"/>
      <w:u w:val="none"/>
      <w:effect w:val="none"/>
    </w:rPr>
  </w:style>
  <w:style w:type="character" w:customStyle="1" w:styleId="ListLabel205">
    <w:name w:val="ListLabel 205"/>
    <w:rsid w:val="00ED7F17"/>
    <w:rPr>
      <w:rFonts w:ascii="Wingdings 2" w:hAnsi="Wingdings 2" w:cs="Wingdings 2" w:hint="default"/>
      <w:strike w:val="0"/>
      <w:dstrike w:val="0"/>
      <w:u w:val="none"/>
      <w:effect w:val="none"/>
    </w:rPr>
  </w:style>
  <w:style w:type="character" w:customStyle="1" w:styleId="ListLabel206">
    <w:name w:val="ListLabel 206"/>
    <w:rsid w:val="00ED7F17"/>
    <w:rPr>
      <w:rFonts w:ascii="OpenSymbol" w:hAnsi="OpenSymbol" w:cs="OpenSymbol" w:hint="default"/>
      <w:strike w:val="0"/>
      <w:dstrike w:val="0"/>
      <w:u w:val="none"/>
      <w:effect w:val="none"/>
    </w:rPr>
  </w:style>
  <w:style w:type="character" w:customStyle="1" w:styleId="ListLabel207">
    <w:name w:val="ListLabel 207"/>
    <w:rsid w:val="00ED7F17"/>
    <w:rPr>
      <w:rFonts w:ascii="Times New Roman" w:hAnsi="Times New Roman" w:cs="Wingdings" w:hint="default"/>
      <w:strike w:val="0"/>
      <w:dstrike w:val="0"/>
      <w:sz w:val="24"/>
      <w:u w:val="none"/>
      <w:effect w:val="none"/>
    </w:rPr>
  </w:style>
  <w:style w:type="character" w:customStyle="1" w:styleId="ListLabel208">
    <w:name w:val="ListLabel 208"/>
    <w:rsid w:val="00ED7F17"/>
    <w:rPr>
      <w:rFonts w:ascii="Wingdings 2" w:hAnsi="Wingdings 2" w:cs="Wingdings 2" w:hint="default"/>
      <w:strike w:val="0"/>
      <w:dstrike w:val="0"/>
      <w:u w:val="none"/>
      <w:effect w:val="none"/>
    </w:rPr>
  </w:style>
  <w:style w:type="character" w:customStyle="1" w:styleId="ListLabel209">
    <w:name w:val="ListLabel 209"/>
    <w:rsid w:val="00ED7F17"/>
    <w:rPr>
      <w:rFonts w:ascii="OpenSymbol" w:hAnsi="OpenSymbol" w:cs="OpenSymbol" w:hint="default"/>
      <w:strike w:val="0"/>
      <w:dstrike w:val="0"/>
      <w:u w:val="none"/>
      <w:effect w:val="none"/>
    </w:rPr>
  </w:style>
  <w:style w:type="character" w:customStyle="1" w:styleId="ListLabel210">
    <w:name w:val="ListLabel 210"/>
    <w:rsid w:val="00ED7F17"/>
    <w:rPr>
      <w:rFonts w:ascii="Wingdings" w:hAnsi="Wingdings" w:cs="Wingdings" w:hint="default"/>
      <w:strike w:val="0"/>
      <w:dstrike w:val="0"/>
      <w:u w:val="none"/>
      <w:effect w:val="none"/>
    </w:rPr>
  </w:style>
  <w:style w:type="character" w:customStyle="1" w:styleId="ListLabel211">
    <w:name w:val="ListLabel 211"/>
    <w:rsid w:val="00ED7F17"/>
    <w:rPr>
      <w:rFonts w:ascii="Wingdings 2" w:hAnsi="Wingdings 2" w:cs="Wingdings 2" w:hint="default"/>
      <w:strike w:val="0"/>
      <w:dstrike w:val="0"/>
      <w:u w:val="none"/>
      <w:effect w:val="none"/>
    </w:rPr>
  </w:style>
  <w:style w:type="character" w:customStyle="1" w:styleId="ListLabel212">
    <w:name w:val="ListLabel 212"/>
    <w:rsid w:val="00ED7F17"/>
    <w:rPr>
      <w:rFonts w:ascii="OpenSymbol" w:hAnsi="OpenSymbol" w:cs="OpenSymbol" w:hint="default"/>
      <w:strike w:val="0"/>
      <w:dstrike w:val="0"/>
      <w:u w:val="none"/>
      <w:effect w:val="none"/>
    </w:rPr>
  </w:style>
  <w:style w:type="character" w:customStyle="1" w:styleId="ListLabel213">
    <w:name w:val="ListLabel 213"/>
    <w:rsid w:val="00ED7F17"/>
    <w:rPr>
      <w:rFonts w:ascii="Wingdings" w:hAnsi="Wingdings" w:cs="Wingdings" w:hint="default"/>
      <w:strike w:val="0"/>
      <w:dstrike w:val="0"/>
      <w:u w:val="none"/>
      <w:effect w:val="none"/>
    </w:rPr>
  </w:style>
  <w:style w:type="character" w:customStyle="1" w:styleId="ListLabel214">
    <w:name w:val="ListLabel 214"/>
    <w:rsid w:val="00ED7F17"/>
    <w:rPr>
      <w:rFonts w:ascii="Wingdings 2" w:hAnsi="Wingdings 2" w:cs="Wingdings 2" w:hint="default"/>
      <w:strike w:val="0"/>
      <w:dstrike w:val="0"/>
      <w:u w:val="none"/>
      <w:effect w:val="none"/>
    </w:rPr>
  </w:style>
  <w:style w:type="character" w:customStyle="1" w:styleId="ListLabel215">
    <w:name w:val="ListLabel 215"/>
    <w:rsid w:val="00ED7F17"/>
    <w:rPr>
      <w:rFonts w:ascii="OpenSymbol" w:hAnsi="OpenSymbol" w:cs="OpenSymbol" w:hint="default"/>
      <w:strike w:val="0"/>
      <w:dstrike w:val="0"/>
      <w:u w:val="none"/>
      <w:effect w:val="none"/>
    </w:rPr>
  </w:style>
  <w:style w:type="character" w:customStyle="1" w:styleId="ListLabel216">
    <w:name w:val="ListLabel 216"/>
    <w:rsid w:val="00ED7F17"/>
    <w:rPr>
      <w:rFonts w:ascii="Times New Roman" w:hAnsi="Times New Roman" w:cs="Times New Roman" w:hint="default"/>
      <w:b w:val="0"/>
      <w:bCs w:val="0"/>
      <w:i w:val="0"/>
      <w:iCs w:val="0"/>
      <w:caps w:val="0"/>
      <w:smallCaps w:val="0"/>
      <w:strike w:val="0"/>
      <w:dstrike w:val="0"/>
      <w:color w:val="000000"/>
      <w:sz w:val="24"/>
      <w:szCs w:val="24"/>
      <w:u w:val="none"/>
      <w:effect w:val="none"/>
    </w:rPr>
  </w:style>
  <w:style w:type="character" w:customStyle="1" w:styleId="ListLabel217">
    <w:name w:val="ListLabel 217"/>
    <w:rsid w:val="00ED7F17"/>
    <w:rPr>
      <w:rFonts w:ascii="Wingdings 2" w:hAnsi="Wingdings 2" w:cs="Wingdings 2" w:hint="default"/>
      <w:strike w:val="0"/>
      <w:dstrike w:val="0"/>
      <w:u w:val="none"/>
      <w:effect w:val="none"/>
    </w:rPr>
  </w:style>
  <w:style w:type="character" w:customStyle="1" w:styleId="ListLabel218">
    <w:name w:val="ListLabel 218"/>
    <w:rsid w:val="00ED7F17"/>
    <w:rPr>
      <w:rFonts w:ascii="OpenSymbol" w:hAnsi="OpenSymbol" w:cs="OpenSymbol" w:hint="default"/>
      <w:strike w:val="0"/>
      <w:dstrike w:val="0"/>
      <w:u w:val="none"/>
      <w:effect w:val="none"/>
    </w:rPr>
  </w:style>
  <w:style w:type="character" w:customStyle="1" w:styleId="ListLabel219">
    <w:name w:val="ListLabel 219"/>
    <w:rsid w:val="00ED7F17"/>
    <w:rPr>
      <w:rFonts w:ascii="Wingdings" w:hAnsi="Wingdings" w:cs="Wingdings" w:hint="default"/>
      <w:strike w:val="0"/>
      <w:dstrike w:val="0"/>
      <w:u w:val="none"/>
      <w:effect w:val="none"/>
    </w:rPr>
  </w:style>
  <w:style w:type="character" w:customStyle="1" w:styleId="ListLabel220">
    <w:name w:val="ListLabel 220"/>
    <w:rsid w:val="00ED7F17"/>
    <w:rPr>
      <w:rFonts w:ascii="Wingdings 2" w:hAnsi="Wingdings 2" w:cs="Wingdings 2" w:hint="default"/>
      <w:strike w:val="0"/>
      <w:dstrike w:val="0"/>
      <w:u w:val="none"/>
      <w:effect w:val="none"/>
    </w:rPr>
  </w:style>
  <w:style w:type="character" w:customStyle="1" w:styleId="ListLabel221">
    <w:name w:val="ListLabel 221"/>
    <w:rsid w:val="00ED7F17"/>
    <w:rPr>
      <w:rFonts w:ascii="OpenSymbol" w:hAnsi="OpenSymbol" w:cs="OpenSymbol" w:hint="default"/>
      <w:strike w:val="0"/>
      <w:dstrike w:val="0"/>
      <w:u w:val="none"/>
      <w:effect w:val="none"/>
    </w:rPr>
  </w:style>
  <w:style w:type="character" w:customStyle="1" w:styleId="ListLabel222">
    <w:name w:val="ListLabel 222"/>
    <w:rsid w:val="00ED7F17"/>
    <w:rPr>
      <w:rFonts w:ascii="Wingdings" w:hAnsi="Wingdings" w:cs="Wingdings" w:hint="default"/>
      <w:strike w:val="0"/>
      <w:dstrike w:val="0"/>
      <w:u w:val="none"/>
      <w:effect w:val="none"/>
    </w:rPr>
  </w:style>
  <w:style w:type="character" w:customStyle="1" w:styleId="ListLabel223">
    <w:name w:val="ListLabel 223"/>
    <w:rsid w:val="00ED7F17"/>
    <w:rPr>
      <w:rFonts w:ascii="Wingdings 2" w:hAnsi="Wingdings 2" w:cs="Wingdings 2" w:hint="default"/>
      <w:strike w:val="0"/>
      <w:dstrike w:val="0"/>
      <w:u w:val="none"/>
      <w:effect w:val="none"/>
    </w:rPr>
  </w:style>
  <w:style w:type="character" w:customStyle="1" w:styleId="ListLabel224">
    <w:name w:val="ListLabel 224"/>
    <w:rsid w:val="00ED7F17"/>
    <w:rPr>
      <w:rFonts w:ascii="OpenSymbol" w:hAnsi="OpenSymbol" w:cs="OpenSymbol" w:hint="default"/>
      <w:strike w:val="0"/>
      <w:dstrike w:val="0"/>
      <w:u w:val="none"/>
      <w:effect w:val="none"/>
    </w:rPr>
  </w:style>
  <w:style w:type="character" w:customStyle="1" w:styleId="ListLabel225">
    <w:name w:val="ListLabel 225"/>
    <w:rsid w:val="00ED7F17"/>
    <w:rPr>
      <w:rFonts w:ascii="Times New Roman" w:hAnsi="Times New Roman" w:cs="Wingdings" w:hint="default"/>
      <w:b/>
      <w:bCs w:val="0"/>
      <w:strike w:val="0"/>
      <w:dstrike w:val="0"/>
      <w:sz w:val="24"/>
      <w:u w:val="none"/>
      <w:effect w:val="none"/>
    </w:rPr>
  </w:style>
  <w:style w:type="character" w:customStyle="1" w:styleId="ListLabel226">
    <w:name w:val="ListLabel 226"/>
    <w:rsid w:val="00ED7F17"/>
    <w:rPr>
      <w:rFonts w:ascii="Wingdings 2" w:hAnsi="Wingdings 2" w:cs="Wingdings 2" w:hint="default"/>
      <w:strike w:val="0"/>
      <w:dstrike w:val="0"/>
      <w:u w:val="none"/>
      <w:effect w:val="none"/>
    </w:rPr>
  </w:style>
  <w:style w:type="character" w:customStyle="1" w:styleId="ListLabel227">
    <w:name w:val="ListLabel 227"/>
    <w:rsid w:val="00ED7F17"/>
    <w:rPr>
      <w:rFonts w:ascii="OpenSymbol" w:hAnsi="OpenSymbol" w:cs="OpenSymbol" w:hint="default"/>
      <w:strike w:val="0"/>
      <w:dstrike w:val="0"/>
      <w:u w:val="none"/>
      <w:effect w:val="none"/>
    </w:rPr>
  </w:style>
  <w:style w:type="character" w:customStyle="1" w:styleId="ListLabel228">
    <w:name w:val="ListLabel 228"/>
    <w:rsid w:val="00ED7F17"/>
    <w:rPr>
      <w:rFonts w:ascii="Wingdings" w:hAnsi="Wingdings" w:cs="Wingdings" w:hint="default"/>
      <w:strike w:val="0"/>
      <w:dstrike w:val="0"/>
      <w:u w:val="none"/>
      <w:effect w:val="none"/>
    </w:rPr>
  </w:style>
  <w:style w:type="character" w:customStyle="1" w:styleId="ListLabel229">
    <w:name w:val="ListLabel 229"/>
    <w:rsid w:val="00ED7F17"/>
    <w:rPr>
      <w:rFonts w:ascii="Wingdings 2" w:hAnsi="Wingdings 2" w:cs="Wingdings 2" w:hint="default"/>
      <w:strike w:val="0"/>
      <w:dstrike w:val="0"/>
      <w:u w:val="none"/>
      <w:effect w:val="none"/>
    </w:rPr>
  </w:style>
  <w:style w:type="character" w:customStyle="1" w:styleId="ListLabel230">
    <w:name w:val="ListLabel 230"/>
    <w:rsid w:val="00ED7F17"/>
    <w:rPr>
      <w:rFonts w:ascii="OpenSymbol" w:hAnsi="OpenSymbol" w:cs="OpenSymbol" w:hint="default"/>
      <w:strike w:val="0"/>
      <w:dstrike w:val="0"/>
      <w:u w:val="none"/>
      <w:effect w:val="none"/>
    </w:rPr>
  </w:style>
  <w:style w:type="character" w:customStyle="1" w:styleId="ListLabel231">
    <w:name w:val="ListLabel 231"/>
    <w:rsid w:val="00ED7F17"/>
    <w:rPr>
      <w:rFonts w:ascii="Wingdings" w:hAnsi="Wingdings" w:cs="Wingdings" w:hint="default"/>
      <w:strike w:val="0"/>
      <w:dstrike w:val="0"/>
      <w:u w:val="none"/>
      <w:effect w:val="none"/>
    </w:rPr>
  </w:style>
  <w:style w:type="character" w:customStyle="1" w:styleId="ListLabel232">
    <w:name w:val="ListLabel 232"/>
    <w:rsid w:val="00ED7F17"/>
    <w:rPr>
      <w:rFonts w:ascii="Wingdings 2" w:hAnsi="Wingdings 2" w:cs="Wingdings 2" w:hint="default"/>
      <w:strike w:val="0"/>
      <w:dstrike w:val="0"/>
      <w:u w:val="none"/>
      <w:effect w:val="none"/>
    </w:rPr>
  </w:style>
  <w:style w:type="character" w:customStyle="1" w:styleId="ListLabel233">
    <w:name w:val="ListLabel 233"/>
    <w:rsid w:val="00ED7F17"/>
    <w:rPr>
      <w:rFonts w:ascii="OpenSymbol" w:hAnsi="OpenSymbol" w:cs="OpenSymbol" w:hint="default"/>
      <w:strike w:val="0"/>
      <w:dstrike w:val="0"/>
      <w:u w:val="none"/>
      <w:effect w:val="none"/>
    </w:rPr>
  </w:style>
  <w:style w:type="character" w:customStyle="1" w:styleId="ListLabel234">
    <w:name w:val="ListLabel 234"/>
    <w:rsid w:val="00ED7F17"/>
    <w:rPr>
      <w:rFonts w:ascii="Times New Roman" w:hAnsi="Times New Roman" w:cs="Symbol" w:hint="default"/>
      <w:b/>
      <w:bCs w:val="0"/>
      <w:sz w:val="24"/>
    </w:rPr>
  </w:style>
  <w:style w:type="character" w:customStyle="1" w:styleId="ListLabel235">
    <w:name w:val="ListLabel 235"/>
    <w:rsid w:val="00ED7F17"/>
    <w:rPr>
      <w:rFonts w:ascii="Times New Roman" w:hAnsi="Times New Roman" w:cs="Times New Roman" w:hint="default"/>
    </w:rPr>
  </w:style>
  <w:style w:type="character" w:customStyle="1" w:styleId="ListLabel236">
    <w:name w:val="ListLabel 236"/>
    <w:rsid w:val="00ED7F17"/>
    <w:rPr>
      <w:rFonts w:ascii="Wingdings" w:hAnsi="Wingdings" w:cs="Wingdings" w:hint="default"/>
    </w:rPr>
  </w:style>
  <w:style w:type="character" w:customStyle="1" w:styleId="ListLabel237">
    <w:name w:val="ListLabel 237"/>
    <w:rsid w:val="00ED7F17"/>
    <w:rPr>
      <w:rFonts w:ascii="Symbol" w:hAnsi="Symbol" w:cs="Symbol" w:hint="default"/>
    </w:rPr>
  </w:style>
  <w:style w:type="character" w:customStyle="1" w:styleId="ListLabel238">
    <w:name w:val="ListLabel 238"/>
    <w:rsid w:val="00ED7F17"/>
    <w:rPr>
      <w:rFonts w:ascii="Courier New" w:hAnsi="Courier New" w:cs="Courier New" w:hint="default"/>
    </w:rPr>
  </w:style>
  <w:style w:type="character" w:customStyle="1" w:styleId="ListLabel239">
    <w:name w:val="ListLabel 239"/>
    <w:rsid w:val="00ED7F17"/>
    <w:rPr>
      <w:rFonts w:ascii="Wingdings" w:hAnsi="Wingdings" w:cs="Wingdings" w:hint="default"/>
    </w:rPr>
  </w:style>
  <w:style w:type="character" w:customStyle="1" w:styleId="ListLabel240">
    <w:name w:val="ListLabel 240"/>
    <w:rsid w:val="00ED7F17"/>
    <w:rPr>
      <w:rFonts w:ascii="Symbol" w:hAnsi="Symbol" w:cs="Symbol" w:hint="default"/>
    </w:rPr>
  </w:style>
  <w:style w:type="character" w:customStyle="1" w:styleId="ListLabel241">
    <w:name w:val="ListLabel 241"/>
    <w:rsid w:val="00ED7F17"/>
    <w:rPr>
      <w:rFonts w:ascii="Courier New" w:hAnsi="Courier New" w:cs="Courier New" w:hint="default"/>
    </w:rPr>
  </w:style>
  <w:style w:type="character" w:customStyle="1" w:styleId="ListLabel242">
    <w:name w:val="ListLabel 242"/>
    <w:rsid w:val="00ED7F17"/>
    <w:rPr>
      <w:rFonts w:ascii="Wingdings" w:hAnsi="Wingdings" w:cs="Wingdings" w:hint="default"/>
    </w:rPr>
  </w:style>
  <w:style w:type="character" w:customStyle="1" w:styleId="ListLabel243">
    <w:name w:val="ListLabel 243"/>
    <w:rsid w:val="00ED7F17"/>
    <w:rPr>
      <w:rFonts w:ascii="Times New Roman" w:hAnsi="Times New Roman" w:cs="Symbol" w:hint="default"/>
      <w:sz w:val="24"/>
    </w:rPr>
  </w:style>
  <w:style w:type="character" w:customStyle="1" w:styleId="ListLabel244">
    <w:name w:val="ListLabel 244"/>
    <w:rsid w:val="00ED7F17"/>
    <w:rPr>
      <w:rFonts w:ascii="Courier New" w:hAnsi="Courier New" w:cs="Courier New" w:hint="default"/>
    </w:rPr>
  </w:style>
  <w:style w:type="character" w:customStyle="1" w:styleId="ListLabel245">
    <w:name w:val="ListLabel 245"/>
    <w:rsid w:val="00ED7F17"/>
    <w:rPr>
      <w:rFonts w:ascii="Wingdings" w:hAnsi="Wingdings" w:cs="Wingdings" w:hint="default"/>
    </w:rPr>
  </w:style>
  <w:style w:type="character" w:customStyle="1" w:styleId="ListLabel246">
    <w:name w:val="ListLabel 246"/>
    <w:rsid w:val="00ED7F17"/>
    <w:rPr>
      <w:rFonts w:ascii="Symbol" w:hAnsi="Symbol" w:cs="Symbol" w:hint="default"/>
    </w:rPr>
  </w:style>
  <w:style w:type="character" w:customStyle="1" w:styleId="ListLabel247">
    <w:name w:val="ListLabel 247"/>
    <w:rsid w:val="00ED7F17"/>
    <w:rPr>
      <w:rFonts w:ascii="Courier New" w:hAnsi="Courier New" w:cs="Courier New" w:hint="default"/>
    </w:rPr>
  </w:style>
  <w:style w:type="character" w:customStyle="1" w:styleId="ListLabel248">
    <w:name w:val="ListLabel 248"/>
    <w:rsid w:val="00ED7F17"/>
    <w:rPr>
      <w:rFonts w:ascii="Wingdings" w:hAnsi="Wingdings" w:cs="Wingdings" w:hint="default"/>
    </w:rPr>
  </w:style>
  <w:style w:type="character" w:customStyle="1" w:styleId="ListLabel249">
    <w:name w:val="ListLabel 249"/>
    <w:rsid w:val="00ED7F17"/>
    <w:rPr>
      <w:rFonts w:ascii="Symbol" w:hAnsi="Symbol" w:cs="Symbol" w:hint="default"/>
    </w:rPr>
  </w:style>
  <w:style w:type="character" w:customStyle="1" w:styleId="ListLabel250">
    <w:name w:val="ListLabel 250"/>
    <w:rsid w:val="00ED7F17"/>
    <w:rPr>
      <w:rFonts w:ascii="Courier New" w:hAnsi="Courier New" w:cs="Courier New" w:hint="default"/>
    </w:rPr>
  </w:style>
  <w:style w:type="character" w:customStyle="1" w:styleId="ListLabel251">
    <w:name w:val="ListLabel 251"/>
    <w:rsid w:val="00ED7F17"/>
    <w:rPr>
      <w:rFonts w:ascii="Wingdings" w:hAnsi="Wingdings" w:cs="Wingdings" w:hint="default"/>
    </w:rPr>
  </w:style>
  <w:style w:type="character" w:customStyle="1" w:styleId="ListLabel252">
    <w:name w:val="ListLabel 252"/>
    <w:rsid w:val="00ED7F17"/>
    <w:rPr>
      <w:rFonts w:ascii="Times New Roman" w:hAnsi="Times New Roman" w:cs="Symbol" w:hint="default"/>
      <w:sz w:val="24"/>
    </w:rPr>
  </w:style>
  <w:style w:type="character" w:customStyle="1" w:styleId="ListLabel253">
    <w:name w:val="ListLabel 253"/>
    <w:rsid w:val="00ED7F17"/>
    <w:rPr>
      <w:rFonts w:ascii="Courier New" w:hAnsi="Courier New" w:cs="Courier New" w:hint="default"/>
    </w:rPr>
  </w:style>
  <w:style w:type="character" w:customStyle="1" w:styleId="ListLabel254">
    <w:name w:val="ListLabel 254"/>
    <w:rsid w:val="00ED7F17"/>
    <w:rPr>
      <w:rFonts w:ascii="Wingdings" w:hAnsi="Wingdings" w:cs="Wingdings" w:hint="default"/>
    </w:rPr>
  </w:style>
  <w:style w:type="character" w:customStyle="1" w:styleId="ListLabel255">
    <w:name w:val="ListLabel 255"/>
    <w:rsid w:val="00ED7F17"/>
    <w:rPr>
      <w:rFonts w:ascii="Symbol" w:hAnsi="Symbol" w:cs="Symbol" w:hint="default"/>
    </w:rPr>
  </w:style>
  <w:style w:type="character" w:customStyle="1" w:styleId="ListLabel256">
    <w:name w:val="ListLabel 256"/>
    <w:rsid w:val="00ED7F17"/>
    <w:rPr>
      <w:rFonts w:ascii="Courier New" w:hAnsi="Courier New" w:cs="Courier New" w:hint="default"/>
    </w:rPr>
  </w:style>
  <w:style w:type="character" w:customStyle="1" w:styleId="ListLabel257">
    <w:name w:val="ListLabel 257"/>
    <w:rsid w:val="00ED7F17"/>
    <w:rPr>
      <w:rFonts w:ascii="Wingdings" w:hAnsi="Wingdings" w:cs="Wingdings" w:hint="default"/>
    </w:rPr>
  </w:style>
  <w:style w:type="character" w:customStyle="1" w:styleId="ListLabel258">
    <w:name w:val="ListLabel 258"/>
    <w:rsid w:val="00ED7F17"/>
    <w:rPr>
      <w:rFonts w:ascii="Symbol" w:hAnsi="Symbol" w:cs="Symbol" w:hint="default"/>
    </w:rPr>
  </w:style>
  <w:style w:type="character" w:customStyle="1" w:styleId="ListLabel259">
    <w:name w:val="ListLabel 259"/>
    <w:rsid w:val="00ED7F17"/>
    <w:rPr>
      <w:rFonts w:ascii="Courier New" w:hAnsi="Courier New" w:cs="Courier New" w:hint="default"/>
    </w:rPr>
  </w:style>
  <w:style w:type="character" w:customStyle="1" w:styleId="ListLabel260">
    <w:name w:val="ListLabel 260"/>
    <w:rsid w:val="00ED7F17"/>
    <w:rPr>
      <w:rFonts w:ascii="Wingdings" w:hAnsi="Wingdings" w:cs="Wingdings" w:hint="default"/>
    </w:rPr>
  </w:style>
  <w:style w:type="character" w:customStyle="1" w:styleId="ListLabel261">
    <w:name w:val="ListLabel 261"/>
    <w:rsid w:val="00ED7F17"/>
    <w:rPr>
      <w:rFonts w:ascii="Times New Roman" w:hAnsi="Times New Roman" w:cs="Times New Roman" w:hint="default"/>
      <w:b/>
      <w:bCs w:val="0"/>
      <w:i w:val="0"/>
      <w:iCs w:val="0"/>
      <w:sz w:val="24"/>
    </w:rPr>
  </w:style>
  <w:style w:type="character" w:customStyle="1" w:styleId="ListLabel262">
    <w:name w:val="ListLabel 262"/>
    <w:rsid w:val="00ED7F17"/>
    <w:rPr>
      <w:i w:val="0"/>
      <w:iCs w:val="0"/>
    </w:rPr>
  </w:style>
  <w:style w:type="character" w:customStyle="1" w:styleId="ListLabel263">
    <w:name w:val="ListLabel 263"/>
    <w:rsid w:val="00ED7F17"/>
    <w:rPr>
      <w:i w:val="0"/>
      <w:iCs w:val="0"/>
    </w:rPr>
  </w:style>
  <w:style w:type="character" w:customStyle="1" w:styleId="ListLabel264">
    <w:name w:val="ListLabel 264"/>
    <w:rsid w:val="00ED7F17"/>
    <w:rPr>
      <w:rFonts w:ascii="Times New Roman" w:hAnsi="Times New Roman" w:cs="Courier New" w:hint="default"/>
      <w:sz w:val="24"/>
    </w:rPr>
  </w:style>
  <w:style w:type="character" w:customStyle="1" w:styleId="ListLabel265">
    <w:name w:val="ListLabel 265"/>
    <w:rsid w:val="00ED7F17"/>
    <w:rPr>
      <w:rFonts w:ascii="Courier New" w:hAnsi="Courier New" w:cs="Courier New" w:hint="default"/>
    </w:rPr>
  </w:style>
  <w:style w:type="character" w:customStyle="1" w:styleId="ListLabel266">
    <w:name w:val="ListLabel 266"/>
    <w:rsid w:val="00ED7F17"/>
    <w:rPr>
      <w:rFonts w:ascii="Wingdings" w:hAnsi="Wingdings" w:cs="Wingdings" w:hint="default"/>
    </w:rPr>
  </w:style>
  <w:style w:type="character" w:customStyle="1" w:styleId="ListLabel267">
    <w:name w:val="ListLabel 267"/>
    <w:rsid w:val="00ED7F17"/>
    <w:rPr>
      <w:rFonts w:ascii="Symbol" w:hAnsi="Symbol" w:cs="Symbol" w:hint="default"/>
    </w:rPr>
  </w:style>
  <w:style w:type="character" w:customStyle="1" w:styleId="ListLabel268">
    <w:name w:val="ListLabel 268"/>
    <w:rsid w:val="00ED7F17"/>
    <w:rPr>
      <w:rFonts w:ascii="Courier New" w:hAnsi="Courier New" w:cs="Courier New" w:hint="default"/>
    </w:rPr>
  </w:style>
  <w:style w:type="character" w:customStyle="1" w:styleId="ListLabel269">
    <w:name w:val="ListLabel 269"/>
    <w:rsid w:val="00ED7F17"/>
    <w:rPr>
      <w:rFonts w:ascii="Wingdings" w:hAnsi="Wingdings" w:cs="Wingdings" w:hint="default"/>
    </w:rPr>
  </w:style>
  <w:style w:type="character" w:customStyle="1" w:styleId="ListLabel270">
    <w:name w:val="ListLabel 270"/>
    <w:rsid w:val="00ED7F17"/>
    <w:rPr>
      <w:rFonts w:ascii="Symbol" w:hAnsi="Symbol" w:cs="Symbol" w:hint="default"/>
    </w:rPr>
  </w:style>
  <w:style w:type="character" w:customStyle="1" w:styleId="ListLabel271">
    <w:name w:val="ListLabel 271"/>
    <w:rsid w:val="00ED7F17"/>
    <w:rPr>
      <w:rFonts w:ascii="Courier New" w:hAnsi="Courier New" w:cs="Courier New" w:hint="default"/>
    </w:rPr>
  </w:style>
  <w:style w:type="character" w:customStyle="1" w:styleId="ListLabel272">
    <w:name w:val="ListLabel 272"/>
    <w:rsid w:val="00ED7F17"/>
    <w:rPr>
      <w:rFonts w:ascii="Wingdings" w:hAnsi="Wingdings" w:cs="Wingdings" w:hint="default"/>
    </w:rPr>
  </w:style>
  <w:style w:type="character" w:customStyle="1" w:styleId="ListLabel273">
    <w:name w:val="ListLabel 273"/>
    <w:rsid w:val="00ED7F17"/>
    <w:rPr>
      <w:b/>
      <w:bCs w:val="0"/>
      <w:i/>
      <w:iCs w:val="0"/>
    </w:rPr>
  </w:style>
  <w:style w:type="character" w:customStyle="1" w:styleId="ListLabel274">
    <w:name w:val="ListLabel 274"/>
    <w:rsid w:val="00ED7F17"/>
    <w:rPr>
      <w:rFonts w:ascii="Times New Roman" w:hAnsi="Times New Roman" w:cs="Times New Roman" w:hint="default"/>
      <w:b/>
      <w:bCs w:val="0"/>
      <w:i/>
      <w:iCs w:val="0"/>
      <w:sz w:val="24"/>
    </w:rPr>
  </w:style>
  <w:style w:type="character" w:customStyle="1" w:styleId="ListLabel275">
    <w:name w:val="ListLabel 275"/>
    <w:rsid w:val="00ED7F17"/>
    <w:rPr>
      <w:b/>
      <w:bCs w:val="0"/>
      <w:i/>
      <w:iCs w:val="0"/>
    </w:rPr>
  </w:style>
  <w:style w:type="character" w:customStyle="1" w:styleId="ListLabel276">
    <w:name w:val="ListLabel 276"/>
    <w:rsid w:val="00ED7F17"/>
    <w:rPr>
      <w:b/>
      <w:bCs w:val="0"/>
      <w:i/>
      <w:iCs w:val="0"/>
    </w:rPr>
  </w:style>
  <w:style w:type="character" w:customStyle="1" w:styleId="ListLabel277">
    <w:name w:val="ListLabel 277"/>
    <w:rsid w:val="00ED7F17"/>
    <w:rPr>
      <w:b/>
      <w:bCs w:val="0"/>
      <w:i/>
      <w:iCs w:val="0"/>
    </w:rPr>
  </w:style>
  <w:style w:type="character" w:customStyle="1" w:styleId="ListLabel278">
    <w:name w:val="ListLabel 278"/>
    <w:rsid w:val="00ED7F17"/>
    <w:rPr>
      <w:b/>
      <w:bCs w:val="0"/>
      <w:i/>
      <w:iCs w:val="0"/>
    </w:rPr>
  </w:style>
  <w:style w:type="character" w:customStyle="1" w:styleId="ListLabel279">
    <w:name w:val="ListLabel 279"/>
    <w:rsid w:val="00ED7F17"/>
    <w:rPr>
      <w:b/>
      <w:bCs w:val="0"/>
      <w:i/>
      <w:iCs w:val="0"/>
    </w:rPr>
  </w:style>
  <w:style w:type="character" w:customStyle="1" w:styleId="ListLabel280">
    <w:name w:val="ListLabel 280"/>
    <w:rsid w:val="00ED7F17"/>
    <w:rPr>
      <w:b/>
      <w:bCs w:val="0"/>
      <w:i/>
      <w:iCs w:val="0"/>
    </w:rPr>
  </w:style>
  <w:style w:type="character" w:customStyle="1" w:styleId="ListLabel281">
    <w:name w:val="ListLabel 281"/>
    <w:rsid w:val="00ED7F17"/>
    <w:rPr>
      <w:b/>
      <w:bCs w:val="0"/>
      <w:i/>
      <w:iCs w:val="0"/>
    </w:rPr>
  </w:style>
  <w:style w:type="character" w:customStyle="1" w:styleId="ListLabel282">
    <w:name w:val="ListLabel 282"/>
    <w:rsid w:val="00ED7F17"/>
    <w:rPr>
      <w:rFonts w:ascii="Times New Roman" w:hAnsi="Times New Roman" w:cs="Wingdings" w:hint="default"/>
      <w:strike w:val="0"/>
      <w:dstrike w:val="0"/>
      <w:sz w:val="24"/>
      <w:u w:val="none"/>
      <w:effect w:val="none"/>
    </w:rPr>
  </w:style>
  <w:style w:type="character" w:customStyle="1" w:styleId="ListLabel283">
    <w:name w:val="ListLabel 283"/>
    <w:rsid w:val="00ED7F17"/>
    <w:rPr>
      <w:rFonts w:ascii="Wingdings 2" w:hAnsi="Wingdings 2" w:cs="Wingdings 2" w:hint="default"/>
      <w:strike w:val="0"/>
      <w:dstrike w:val="0"/>
      <w:u w:val="none"/>
      <w:effect w:val="none"/>
    </w:rPr>
  </w:style>
  <w:style w:type="character" w:customStyle="1" w:styleId="ListLabel284">
    <w:name w:val="ListLabel 284"/>
    <w:rsid w:val="00ED7F17"/>
    <w:rPr>
      <w:rFonts w:ascii="OpenSymbol" w:hAnsi="OpenSymbol" w:cs="OpenSymbol" w:hint="default"/>
      <w:strike w:val="0"/>
      <w:dstrike w:val="0"/>
      <w:u w:val="none"/>
      <w:effect w:val="none"/>
    </w:rPr>
  </w:style>
  <w:style w:type="character" w:customStyle="1" w:styleId="ListLabel285">
    <w:name w:val="ListLabel 285"/>
    <w:rsid w:val="00ED7F17"/>
    <w:rPr>
      <w:rFonts w:ascii="Wingdings" w:hAnsi="Wingdings" w:cs="Wingdings" w:hint="default"/>
      <w:strike w:val="0"/>
      <w:dstrike w:val="0"/>
      <w:u w:val="none"/>
      <w:effect w:val="none"/>
    </w:rPr>
  </w:style>
  <w:style w:type="character" w:customStyle="1" w:styleId="ListLabel286">
    <w:name w:val="ListLabel 286"/>
    <w:rsid w:val="00ED7F17"/>
    <w:rPr>
      <w:rFonts w:ascii="Wingdings 2" w:hAnsi="Wingdings 2" w:cs="Wingdings 2" w:hint="default"/>
      <w:strike w:val="0"/>
      <w:dstrike w:val="0"/>
      <w:u w:val="none"/>
      <w:effect w:val="none"/>
    </w:rPr>
  </w:style>
  <w:style w:type="character" w:customStyle="1" w:styleId="ListLabel287">
    <w:name w:val="ListLabel 287"/>
    <w:rsid w:val="00ED7F17"/>
    <w:rPr>
      <w:rFonts w:ascii="OpenSymbol" w:hAnsi="OpenSymbol" w:cs="OpenSymbol" w:hint="default"/>
      <w:strike w:val="0"/>
      <w:dstrike w:val="0"/>
      <w:u w:val="none"/>
      <w:effect w:val="none"/>
    </w:rPr>
  </w:style>
  <w:style w:type="character" w:customStyle="1" w:styleId="ListLabel288">
    <w:name w:val="ListLabel 288"/>
    <w:rsid w:val="00ED7F17"/>
    <w:rPr>
      <w:rFonts w:ascii="Wingdings" w:hAnsi="Wingdings" w:cs="Wingdings" w:hint="default"/>
      <w:strike w:val="0"/>
      <w:dstrike w:val="0"/>
      <w:u w:val="none"/>
      <w:effect w:val="none"/>
    </w:rPr>
  </w:style>
  <w:style w:type="character" w:customStyle="1" w:styleId="ListLabel289">
    <w:name w:val="ListLabel 289"/>
    <w:rsid w:val="00ED7F17"/>
    <w:rPr>
      <w:rFonts w:ascii="Wingdings 2" w:hAnsi="Wingdings 2" w:cs="Wingdings 2" w:hint="default"/>
      <w:strike w:val="0"/>
      <w:dstrike w:val="0"/>
      <w:u w:val="none"/>
      <w:effect w:val="none"/>
    </w:rPr>
  </w:style>
  <w:style w:type="character" w:customStyle="1" w:styleId="ListLabel290">
    <w:name w:val="ListLabel 290"/>
    <w:rsid w:val="00ED7F17"/>
    <w:rPr>
      <w:rFonts w:ascii="OpenSymbol" w:hAnsi="OpenSymbol" w:cs="OpenSymbol" w:hint="default"/>
      <w:strike w:val="0"/>
      <w:dstrike w:val="0"/>
      <w:u w:val="none"/>
      <w:effect w:val="none"/>
    </w:rPr>
  </w:style>
  <w:style w:type="character" w:customStyle="1" w:styleId="ListLabel291">
    <w:name w:val="ListLabel 291"/>
    <w:rsid w:val="00ED7F17"/>
    <w:rPr>
      <w:rFonts w:ascii="Times New Roman" w:hAnsi="Times New Roman" w:cs="Wingdings" w:hint="default"/>
      <w:strike w:val="0"/>
      <w:dstrike w:val="0"/>
      <w:sz w:val="24"/>
      <w:u w:val="none"/>
      <w:effect w:val="none"/>
    </w:rPr>
  </w:style>
  <w:style w:type="character" w:customStyle="1" w:styleId="ListLabel292">
    <w:name w:val="ListLabel 292"/>
    <w:rsid w:val="00ED7F17"/>
    <w:rPr>
      <w:rFonts w:ascii="Wingdings 2" w:hAnsi="Wingdings 2" w:cs="Wingdings 2" w:hint="default"/>
      <w:strike w:val="0"/>
      <w:dstrike w:val="0"/>
      <w:u w:val="none"/>
      <w:effect w:val="none"/>
    </w:rPr>
  </w:style>
  <w:style w:type="character" w:customStyle="1" w:styleId="ListLabel293">
    <w:name w:val="ListLabel 293"/>
    <w:rsid w:val="00ED7F17"/>
    <w:rPr>
      <w:rFonts w:ascii="OpenSymbol" w:hAnsi="OpenSymbol" w:cs="OpenSymbol" w:hint="default"/>
      <w:strike w:val="0"/>
      <w:dstrike w:val="0"/>
      <w:u w:val="none"/>
      <w:effect w:val="none"/>
    </w:rPr>
  </w:style>
  <w:style w:type="character" w:customStyle="1" w:styleId="ListLabel294">
    <w:name w:val="ListLabel 294"/>
    <w:rsid w:val="00ED7F17"/>
    <w:rPr>
      <w:rFonts w:ascii="Wingdings" w:hAnsi="Wingdings" w:cs="Wingdings" w:hint="default"/>
      <w:strike w:val="0"/>
      <w:dstrike w:val="0"/>
      <w:u w:val="none"/>
      <w:effect w:val="none"/>
    </w:rPr>
  </w:style>
  <w:style w:type="character" w:customStyle="1" w:styleId="ListLabel295">
    <w:name w:val="ListLabel 295"/>
    <w:rsid w:val="00ED7F17"/>
    <w:rPr>
      <w:rFonts w:ascii="Wingdings 2" w:hAnsi="Wingdings 2" w:cs="Wingdings 2" w:hint="default"/>
      <w:strike w:val="0"/>
      <w:dstrike w:val="0"/>
      <w:u w:val="none"/>
      <w:effect w:val="none"/>
    </w:rPr>
  </w:style>
  <w:style w:type="character" w:customStyle="1" w:styleId="ListLabel296">
    <w:name w:val="ListLabel 296"/>
    <w:rsid w:val="00ED7F17"/>
    <w:rPr>
      <w:rFonts w:ascii="OpenSymbol" w:hAnsi="OpenSymbol" w:cs="OpenSymbol" w:hint="default"/>
      <w:strike w:val="0"/>
      <w:dstrike w:val="0"/>
      <w:u w:val="none"/>
      <w:effect w:val="none"/>
    </w:rPr>
  </w:style>
  <w:style w:type="character" w:customStyle="1" w:styleId="ListLabel297">
    <w:name w:val="ListLabel 297"/>
    <w:rsid w:val="00ED7F17"/>
    <w:rPr>
      <w:rFonts w:ascii="Wingdings" w:hAnsi="Wingdings" w:cs="Wingdings" w:hint="default"/>
      <w:strike w:val="0"/>
      <w:dstrike w:val="0"/>
      <w:u w:val="none"/>
      <w:effect w:val="none"/>
    </w:rPr>
  </w:style>
  <w:style w:type="character" w:customStyle="1" w:styleId="ListLabel298">
    <w:name w:val="ListLabel 298"/>
    <w:rsid w:val="00ED7F17"/>
    <w:rPr>
      <w:rFonts w:ascii="Wingdings 2" w:hAnsi="Wingdings 2" w:cs="Wingdings 2" w:hint="default"/>
      <w:strike w:val="0"/>
      <w:dstrike w:val="0"/>
      <w:u w:val="none"/>
      <w:effect w:val="none"/>
    </w:rPr>
  </w:style>
  <w:style w:type="character" w:customStyle="1" w:styleId="ListLabel299">
    <w:name w:val="ListLabel 299"/>
    <w:rsid w:val="00ED7F17"/>
    <w:rPr>
      <w:rFonts w:ascii="OpenSymbol" w:hAnsi="OpenSymbol" w:cs="OpenSymbol" w:hint="default"/>
      <w:strike w:val="0"/>
      <w:dstrike w:val="0"/>
      <w:u w:val="none"/>
      <w:effect w:val="none"/>
    </w:rPr>
  </w:style>
  <w:style w:type="character" w:customStyle="1" w:styleId="ListLabel300">
    <w:name w:val="ListLabel 300"/>
    <w:rsid w:val="00ED7F17"/>
    <w:rPr>
      <w:rFonts w:ascii="Times New Roman" w:hAnsi="Times New Roman" w:cs="Symbol" w:hint="default"/>
      <w:sz w:val="24"/>
    </w:rPr>
  </w:style>
  <w:style w:type="character" w:customStyle="1" w:styleId="ListLabel301">
    <w:name w:val="ListLabel 301"/>
    <w:rsid w:val="00ED7F17"/>
    <w:rPr>
      <w:rFonts w:ascii="Courier New" w:hAnsi="Courier New" w:cs="Courier New" w:hint="default"/>
    </w:rPr>
  </w:style>
  <w:style w:type="character" w:customStyle="1" w:styleId="ListLabel302">
    <w:name w:val="ListLabel 302"/>
    <w:rsid w:val="00ED7F17"/>
    <w:rPr>
      <w:rFonts w:ascii="Wingdings" w:hAnsi="Wingdings" w:cs="Wingdings" w:hint="default"/>
    </w:rPr>
  </w:style>
  <w:style w:type="character" w:customStyle="1" w:styleId="ListLabel303">
    <w:name w:val="ListLabel 303"/>
    <w:rsid w:val="00ED7F17"/>
    <w:rPr>
      <w:rFonts w:ascii="Symbol" w:hAnsi="Symbol" w:cs="Symbol" w:hint="default"/>
    </w:rPr>
  </w:style>
  <w:style w:type="character" w:customStyle="1" w:styleId="ListLabel304">
    <w:name w:val="ListLabel 304"/>
    <w:rsid w:val="00ED7F17"/>
    <w:rPr>
      <w:rFonts w:ascii="Courier New" w:hAnsi="Courier New" w:cs="Courier New" w:hint="default"/>
    </w:rPr>
  </w:style>
  <w:style w:type="character" w:customStyle="1" w:styleId="ListLabel305">
    <w:name w:val="ListLabel 305"/>
    <w:rsid w:val="00ED7F17"/>
    <w:rPr>
      <w:rFonts w:ascii="Wingdings" w:hAnsi="Wingdings" w:cs="Wingdings" w:hint="default"/>
    </w:rPr>
  </w:style>
  <w:style w:type="character" w:customStyle="1" w:styleId="ListLabel306">
    <w:name w:val="ListLabel 306"/>
    <w:rsid w:val="00ED7F17"/>
    <w:rPr>
      <w:rFonts w:ascii="Symbol" w:hAnsi="Symbol" w:cs="Symbol" w:hint="default"/>
    </w:rPr>
  </w:style>
  <w:style w:type="character" w:customStyle="1" w:styleId="ListLabel307">
    <w:name w:val="ListLabel 307"/>
    <w:rsid w:val="00ED7F17"/>
    <w:rPr>
      <w:rFonts w:ascii="Courier New" w:hAnsi="Courier New" w:cs="Courier New" w:hint="default"/>
    </w:rPr>
  </w:style>
  <w:style w:type="character" w:customStyle="1" w:styleId="ListLabel308">
    <w:name w:val="ListLabel 308"/>
    <w:rsid w:val="00ED7F17"/>
    <w:rPr>
      <w:rFonts w:ascii="Wingdings" w:hAnsi="Wingdings" w:cs="Wingdings" w:hint="default"/>
    </w:rPr>
  </w:style>
  <w:style w:type="character" w:customStyle="1" w:styleId="ListLabel309">
    <w:name w:val="ListLabel 309"/>
    <w:rsid w:val="00ED7F17"/>
    <w:rPr>
      <w:rFonts w:ascii="Times New Roman" w:hAnsi="Times New Roman" w:cs="Symbol" w:hint="default"/>
      <w:sz w:val="24"/>
    </w:rPr>
  </w:style>
  <w:style w:type="character" w:customStyle="1" w:styleId="ListLabel310">
    <w:name w:val="ListLabel 310"/>
    <w:rsid w:val="00ED7F17"/>
    <w:rPr>
      <w:rFonts w:ascii="Courier New" w:hAnsi="Courier New" w:cs="Courier New" w:hint="default"/>
    </w:rPr>
  </w:style>
  <w:style w:type="character" w:customStyle="1" w:styleId="ListLabel311">
    <w:name w:val="ListLabel 311"/>
    <w:rsid w:val="00ED7F17"/>
    <w:rPr>
      <w:rFonts w:ascii="Wingdings" w:hAnsi="Wingdings" w:cs="Wingdings" w:hint="default"/>
    </w:rPr>
  </w:style>
  <w:style w:type="character" w:customStyle="1" w:styleId="ListLabel312">
    <w:name w:val="ListLabel 312"/>
    <w:rsid w:val="00ED7F17"/>
    <w:rPr>
      <w:rFonts w:ascii="Symbol" w:hAnsi="Symbol" w:cs="Symbol" w:hint="default"/>
    </w:rPr>
  </w:style>
  <w:style w:type="character" w:customStyle="1" w:styleId="ListLabel313">
    <w:name w:val="ListLabel 313"/>
    <w:rsid w:val="00ED7F17"/>
    <w:rPr>
      <w:rFonts w:ascii="Courier New" w:hAnsi="Courier New" w:cs="Courier New" w:hint="default"/>
    </w:rPr>
  </w:style>
  <w:style w:type="character" w:customStyle="1" w:styleId="ListLabel314">
    <w:name w:val="ListLabel 314"/>
    <w:rsid w:val="00ED7F17"/>
    <w:rPr>
      <w:rFonts w:ascii="Wingdings" w:hAnsi="Wingdings" w:cs="Wingdings" w:hint="default"/>
    </w:rPr>
  </w:style>
  <w:style w:type="character" w:customStyle="1" w:styleId="ListLabel315">
    <w:name w:val="ListLabel 315"/>
    <w:rsid w:val="00ED7F17"/>
    <w:rPr>
      <w:rFonts w:ascii="Symbol" w:hAnsi="Symbol" w:cs="Symbol" w:hint="default"/>
    </w:rPr>
  </w:style>
  <w:style w:type="character" w:customStyle="1" w:styleId="ListLabel316">
    <w:name w:val="ListLabel 316"/>
    <w:rsid w:val="00ED7F17"/>
    <w:rPr>
      <w:rFonts w:ascii="Courier New" w:hAnsi="Courier New" w:cs="Courier New" w:hint="default"/>
    </w:rPr>
  </w:style>
  <w:style w:type="character" w:customStyle="1" w:styleId="ListLabel317">
    <w:name w:val="ListLabel 317"/>
    <w:rsid w:val="00ED7F17"/>
    <w:rPr>
      <w:rFonts w:ascii="Wingdings" w:hAnsi="Wingdings" w:cs="Wingdings" w:hint="default"/>
    </w:rPr>
  </w:style>
  <w:style w:type="character" w:customStyle="1" w:styleId="ListLabel318">
    <w:name w:val="ListLabel 318"/>
    <w:rsid w:val="00ED7F17"/>
    <w:rPr>
      <w:rFonts w:ascii="Times New Roman" w:hAnsi="Times New Roman" w:cs="Symbol" w:hint="default"/>
    </w:rPr>
  </w:style>
  <w:style w:type="character" w:customStyle="1" w:styleId="ListLabel319">
    <w:name w:val="ListLabel 319"/>
    <w:rsid w:val="00ED7F17"/>
    <w:rPr>
      <w:rFonts w:ascii="Courier New" w:hAnsi="Courier New" w:cs="Courier New" w:hint="default"/>
    </w:rPr>
  </w:style>
  <w:style w:type="character" w:customStyle="1" w:styleId="ListLabel320">
    <w:name w:val="ListLabel 320"/>
    <w:rsid w:val="00ED7F17"/>
    <w:rPr>
      <w:rFonts w:ascii="Wingdings" w:hAnsi="Wingdings" w:cs="Wingdings" w:hint="default"/>
    </w:rPr>
  </w:style>
  <w:style w:type="character" w:customStyle="1" w:styleId="ListLabel321">
    <w:name w:val="ListLabel 321"/>
    <w:rsid w:val="00ED7F17"/>
    <w:rPr>
      <w:rFonts w:ascii="Symbol" w:hAnsi="Symbol" w:cs="Symbol" w:hint="default"/>
    </w:rPr>
  </w:style>
  <w:style w:type="character" w:customStyle="1" w:styleId="ListLabel322">
    <w:name w:val="ListLabel 322"/>
    <w:rsid w:val="00ED7F17"/>
    <w:rPr>
      <w:rFonts w:ascii="Courier New" w:hAnsi="Courier New" w:cs="Courier New" w:hint="default"/>
    </w:rPr>
  </w:style>
  <w:style w:type="character" w:customStyle="1" w:styleId="ListLabel323">
    <w:name w:val="ListLabel 323"/>
    <w:rsid w:val="00ED7F17"/>
    <w:rPr>
      <w:rFonts w:ascii="Wingdings" w:hAnsi="Wingdings" w:cs="Wingdings" w:hint="default"/>
    </w:rPr>
  </w:style>
  <w:style w:type="character" w:customStyle="1" w:styleId="ListLabel324">
    <w:name w:val="ListLabel 324"/>
    <w:rsid w:val="00ED7F17"/>
    <w:rPr>
      <w:rFonts w:ascii="Symbol" w:hAnsi="Symbol" w:cs="Symbol" w:hint="default"/>
    </w:rPr>
  </w:style>
  <w:style w:type="character" w:customStyle="1" w:styleId="ListLabel325">
    <w:name w:val="ListLabel 325"/>
    <w:rsid w:val="00ED7F17"/>
    <w:rPr>
      <w:rFonts w:ascii="Courier New" w:hAnsi="Courier New" w:cs="Courier New" w:hint="default"/>
    </w:rPr>
  </w:style>
  <w:style w:type="character" w:customStyle="1" w:styleId="ListLabel326">
    <w:name w:val="ListLabel 326"/>
    <w:rsid w:val="00ED7F17"/>
    <w:rPr>
      <w:rFonts w:ascii="Wingdings" w:hAnsi="Wingdings" w:cs="Wingdings" w:hint="default"/>
    </w:rPr>
  </w:style>
  <w:style w:type="character" w:customStyle="1" w:styleId="ListLabel327">
    <w:name w:val="ListLabel 327"/>
    <w:rsid w:val="00ED7F17"/>
    <w:rPr>
      <w:rFonts w:ascii="Times New Roman" w:hAnsi="Times New Roman" w:cs="Wingdings" w:hint="default"/>
      <w:strike w:val="0"/>
      <w:dstrike w:val="0"/>
      <w:sz w:val="24"/>
      <w:u w:val="none"/>
      <w:effect w:val="none"/>
    </w:rPr>
  </w:style>
  <w:style w:type="character" w:customStyle="1" w:styleId="ListLabel328">
    <w:name w:val="ListLabel 328"/>
    <w:rsid w:val="00ED7F17"/>
    <w:rPr>
      <w:rFonts w:ascii="Wingdings 2" w:hAnsi="Wingdings 2" w:cs="Wingdings 2" w:hint="default"/>
      <w:strike w:val="0"/>
      <w:dstrike w:val="0"/>
      <w:u w:val="none"/>
      <w:effect w:val="none"/>
    </w:rPr>
  </w:style>
  <w:style w:type="character" w:customStyle="1" w:styleId="ListLabel329">
    <w:name w:val="ListLabel 329"/>
    <w:rsid w:val="00ED7F17"/>
    <w:rPr>
      <w:rFonts w:ascii="OpenSymbol" w:hAnsi="OpenSymbol" w:cs="OpenSymbol" w:hint="default"/>
      <w:strike w:val="0"/>
      <w:dstrike w:val="0"/>
      <w:u w:val="none"/>
      <w:effect w:val="none"/>
    </w:rPr>
  </w:style>
  <w:style w:type="character" w:customStyle="1" w:styleId="ListLabel330">
    <w:name w:val="ListLabel 330"/>
    <w:rsid w:val="00ED7F17"/>
    <w:rPr>
      <w:rFonts w:ascii="Wingdings" w:hAnsi="Wingdings" w:cs="Wingdings" w:hint="default"/>
      <w:strike w:val="0"/>
      <w:dstrike w:val="0"/>
      <w:u w:val="none"/>
      <w:effect w:val="none"/>
    </w:rPr>
  </w:style>
  <w:style w:type="character" w:customStyle="1" w:styleId="ListLabel331">
    <w:name w:val="ListLabel 331"/>
    <w:rsid w:val="00ED7F17"/>
    <w:rPr>
      <w:rFonts w:ascii="Wingdings 2" w:hAnsi="Wingdings 2" w:cs="Wingdings 2" w:hint="default"/>
      <w:strike w:val="0"/>
      <w:dstrike w:val="0"/>
      <w:u w:val="none"/>
      <w:effect w:val="none"/>
    </w:rPr>
  </w:style>
  <w:style w:type="character" w:customStyle="1" w:styleId="ListLabel332">
    <w:name w:val="ListLabel 332"/>
    <w:rsid w:val="00ED7F17"/>
    <w:rPr>
      <w:rFonts w:ascii="OpenSymbol" w:hAnsi="OpenSymbol" w:cs="OpenSymbol" w:hint="default"/>
      <w:strike w:val="0"/>
      <w:dstrike w:val="0"/>
      <w:u w:val="none"/>
      <w:effect w:val="none"/>
    </w:rPr>
  </w:style>
  <w:style w:type="character" w:customStyle="1" w:styleId="ListLabel333">
    <w:name w:val="ListLabel 333"/>
    <w:rsid w:val="00ED7F17"/>
    <w:rPr>
      <w:rFonts w:ascii="Wingdings" w:hAnsi="Wingdings" w:cs="Wingdings" w:hint="default"/>
      <w:strike w:val="0"/>
      <w:dstrike w:val="0"/>
      <w:u w:val="none"/>
      <w:effect w:val="none"/>
    </w:rPr>
  </w:style>
  <w:style w:type="character" w:customStyle="1" w:styleId="ListLabel334">
    <w:name w:val="ListLabel 334"/>
    <w:rsid w:val="00ED7F17"/>
    <w:rPr>
      <w:rFonts w:ascii="Wingdings 2" w:hAnsi="Wingdings 2" w:cs="Wingdings 2" w:hint="default"/>
      <w:strike w:val="0"/>
      <w:dstrike w:val="0"/>
      <w:u w:val="none"/>
      <w:effect w:val="none"/>
    </w:rPr>
  </w:style>
  <w:style w:type="character" w:customStyle="1" w:styleId="ListLabel335">
    <w:name w:val="ListLabel 335"/>
    <w:rsid w:val="00ED7F17"/>
    <w:rPr>
      <w:rFonts w:ascii="OpenSymbol" w:hAnsi="OpenSymbol" w:cs="OpenSymbol" w:hint="default"/>
      <w:strike w:val="0"/>
      <w:dstrike w:val="0"/>
      <w:u w:val="none"/>
      <w:effect w:val="none"/>
    </w:rPr>
  </w:style>
  <w:style w:type="character" w:customStyle="1" w:styleId="ListLabel336">
    <w:name w:val="ListLabel 336"/>
    <w:rsid w:val="00ED7F17"/>
    <w:rPr>
      <w:rFonts w:ascii="Times New Roman" w:hAnsi="Times New Roman" w:cs="Wingdings" w:hint="default"/>
      <w:strike w:val="0"/>
      <w:dstrike w:val="0"/>
      <w:sz w:val="24"/>
      <w:u w:val="none"/>
      <w:effect w:val="none"/>
    </w:rPr>
  </w:style>
  <w:style w:type="character" w:customStyle="1" w:styleId="ListLabel337">
    <w:name w:val="ListLabel 337"/>
    <w:rsid w:val="00ED7F17"/>
    <w:rPr>
      <w:rFonts w:ascii="Wingdings 2" w:hAnsi="Wingdings 2" w:cs="Wingdings 2" w:hint="default"/>
      <w:strike w:val="0"/>
      <w:dstrike w:val="0"/>
      <w:u w:val="none"/>
      <w:effect w:val="none"/>
    </w:rPr>
  </w:style>
  <w:style w:type="character" w:customStyle="1" w:styleId="ListLabel338">
    <w:name w:val="ListLabel 338"/>
    <w:rsid w:val="00ED7F17"/>
    <w:rPr>
      <w:rFonts w:ascii="OpenSymbol" w:hAnsi="OpenSymbol" w:cs="OpenSymbol" w:hint="default"/>
      <w:strike w:val="0"/>
      <w:dstrike w:val="0"/>
      <w:u w:val="none"/>
      <w:effect w:val="none"/>
    </w:rPr>
  </w:style>
  <w:style w:type="character" w:customStyle="1" w:styleId="ListLabel339">
    <w:name w:val="ListLabel 339"/>
    <w:rsid w:val="00ED7F17"/>
    <w:rPr>
      <w:rFonts w:ascii="Wingdings" w:hAnsi="Wingdings" w:cs="Wingdings" w:hint="default"/>
      <w:strike w:val="0"/>
      <w:dstrike w:val="0"/>
      <w:u w:val="none"/>
      <w:effect w:val="none"/>
    </w:rPr>
  </w:style>
  <w:style w:type="character" w:customStyle="1" w:styleId="ListLabel340">
    <w:name w:val="ListLabel 340"/>
    <w:rsid w:val="00ED7F17"/>
    <w:rPr>
      <w:rFonts w:ascii="Wingdings 2" w:hAnsi="Wingdings 2" w:cs="Wingdings 2" w:hint="default"/>
      <w:strike w:val="0"/>
      <w:dstrike w:val="0"/>
      <w:u w:val="none"/>
      <w:effect w:val="none"/>
    </w:rPr>
  </w:style>
  <w:style w:type="character" w:customStyle="1" w:styleId="ListLabel341">
    <w:name w:val="ListLabel 341"/>
    <w:rsid w:val="00ED7F17"/>
    <w:rPr>
      <w:rFonts w:ascii="OpenSymbol" w:hAnsi="OpenSymbol" w:cs="OpenSymbol" w:hint="default"/>
      <w:strike w:val="0"/>
      <w:dstrike w:val="0"/>
      <w:u w:val="none"/>
      <w:effect w:val="none"/>
    </w:rPr>
  </w:style>
  <w:style w:type="character" w:customStyle="1" w:styleId="ListLabel342">
    <w:name w:val="ListLabel 342"/>
    <w:rsid w:val="00ED7F17"/>
    <w:rPr>
      <w:rFonts w:ascii="Wingdings" w:hAnsi="Wingdings" w:cs="Wingdings" w:hint="default"/>
      <w:strike w:val="0"/>
      <w:dstrike w:val="0"/>
      <w:u w:val="none"/>
      <w:effect w:val="none"/>
    </w:rPr>
  </w:style>
  <w:style w:type="character" w:customStyle="1" w:styleId="ListLabel343">
    <w:name w:val="ListLabel 343"/>
    <w:rsid w:val="00ED7F17"/>
    <w:rPr>
      <w:rFonts w:ascii="Wingdings 2" w:hAnsi="Wingdings 2" w:cs="Wingdings 2" w:hint="default"/>
      <w:strike w:val="0"/>
      <w:dstrike w:val="0"/>
      <w:u w:val="none"/>
      <w:effect w:val="none"/>
    </w:rPr>
  </w:style>
  <w:style w:type="character" w:customStyle="1" w:styleId="ListLabel344">
    <w:name w:val="ListLabel 344"/>
    <w:rsid w:val="00ED7F17"/>
    <w:rPr>
      <w:rFonts w:ascii="OpenSymbol" w:hAnsi="OpenSymbol" w:cs="OpenSymbol" w:hint="default"/>
      <w:strike w:val="0"/>
      <w:dstrike w:val="0"/>
      <w:u w:val="none"/>
      <w:effect w:val="none"/>
    </w:rPr>
  </w:style>
  <w:style w:type="character" w:customStyle="1" w:styleId="ListLabel345">
    <w:name w:val="ListLabel 345"/>
    <w:rsid w:val="00ED7F17"/>
    <w:rPr>
      <w:rFonts w:ascii="Times New Roman" w:hAnsi="Times New Roman" w:cs="Wingdings" w:hint="default"/>
      <w:strike w:val="0"/>
      <w:dstrike w:val="0"/>
      <w:sz w:val="24"/>
      <w:u w:val="none"/>
      <w:effect w:val="none"/>
    </w:rPr>
  </w:style>
  <w:style w:type="character" w:customStyle="1" w:styleId="ListLabel346">
    <w:name w:val="ListLabel 346"/>
    <w:rsid w:val="00ED7F17"/>
    <w:rPr>
      <w:rFonts w:ascii="Wingdings 2" w:hAnsi="Wingdings 2" w:cs="Wingdings 2" w:hint="default"/>
      <w:strike w:val="0"/>
      <w:dstrike w:val="0"/>
      <w:u w:val="none"/>
      <w:effect w:val="none"/>
    </w:rPr>
  </w:style>
  <w:style w:type="character" w:customStyle="1" w:styleId="ListLabel347">
    <w:name w:val="ListLabel 347"/>
    <w:rsid w:val="00ED7F17"/>
    <w:rPr>
      <w:rFonts w:ascii="OpenSymbol" w:hAnsi="OpenSymbol" w:cs="OpenSymbol" w:hint="default"/>
      <w:strike w:val="0"/>
      <w:dstrike w:val="0"/>
      <w:u w:val="none"/>
      <w:effect w:val="none"/>
    </w:rPr>
  </w:style>
  <w:style w:type="character" w:customStyle="1" w:styleId="ListLabel348">
    <w:name w:val="ListLabel 348"/>
    <w:rsid w:val="00ED7F17"/>
    <w:rPr>
      <w:rFonts w:ascii="Wingdings" w:hAnsi="Wingdings" w:cs="Wingdings" w:hint="default"/>
      <w:strike w:val="0"/>
      <w:dstrike w:val="0"/>
      <w:u w:val="none"/>
      <w:effect w:val="none"/>
    </w:rPr>
  </w:style>
  <w:style w:type="character" w:customStyle="1" w:styleId="ListLabel349">
    <w:name w:val="ListLabel 349"/>
    <w:rsid w:val="00ED7F17"/>
    <w:rPr>
      <w:rFonts w:ascii="Wingdings 2" w:hAnsi="Wingdings 2" w:cs="Wingdings 2" w:hint="default"/>
      <w:strike w:val="0"/>
      <w:dstrike w:val="0"/>
      <w:u w:val="none"/>
      <w:effect w:val="none"/>
    </w:rPr>
  </w:style>
  <w:style w:type="character" w:customStyle="1" w:styleId="ListLabel350">
    <w:name w:val="ListLabel 350"/>
    <w:rsid w:val="00ED7F17"/>
    <w:rPr>
      <w:rFonts w:ascii="OpenSymbol" w:hAnsi="OpenSymbol" w:cs="OpenSymbol" w:hint="default"/>
      <w:strike w:val="0"/>
      <w:dstrike w:val="0"/>
      <w:u w:val="none"/>
      <w:effect w:val="none"/>
    </w:rPr>
  </w:style>
  <w:style w:type="character" w:customStyle="1" w:styleId="ListLabel351">
    <w:name w:val="ListLabel 351"/>
    <w:rsid w:val="00ED7F17"/>
    <w:rPr>
      <w:rFonts w:ascii="Wingdings" w:hAnsi="Wingdings" w:cs="Wingdings" w:hint="default"/>
      <w:strike w:val="0"/>
      <w:dstrike w:val="0"/>
      <w:u w:val="none"/>
      <w:effect w:val="none"/>
    </w:rPr>
  </w:style>
  <w:style w:type="character" w:customStyle="1" w:styleId="ListLabel352">
    <w:name w:val="ListLabel 352"/>
    <w:rsid w:val="00ED7F17"/>
    <w:rPr>
      <w:rFonts w:ascii="Wingdings 2" w:hAnsi="Wingdings 2" w:cs="Wingdings 2" w:hint="default"/>
      <w:strike w:val="0"/>
      <w:dstrike w:val="0"/>
      <w:u w:val="none"/>
      <w:effect w:val="none"/>
    </w:rPr>
  </w:style>
  <w:style w:type="character" w:customStyle="1" w:styleId="ListLabel353">
    <w:name w:val="ListLabel 353"/>
    <w:rsid w:val="00ED7F17"/>
    <w:rPr>
      <w:rFonts w:ascii="OpenSymbol" w:hAnsi="OpenSymbol" w:cs="OpenSymbol" w:hint="default"/>
      <w:strike w:val="0"/>
      <w:dstrike w:val="0"/>
      <w:u w:val="none"/>
      <w:effect w:val="none"/>
    </w:rPr>
  </w:style>
  <w:style w:type="character" w:customStyle="1" w:styleId="ListLabel354">
    <w:name w:val="ListLabel 354"/>
    <w:rsid w:val="00ED7F17"/>
    <w:rPr>
      <w:rFonts w:ascii="Times New Roman" w:hAnsi="Times New Roman" w:cs="Wingdings" w:hint="default"/>
      <w:strike w:val="0"/>
      <w:dstrike w:val="0"/>
      <w:sz w:val="24"/>
      <w:u w:val="none"/>
      <w:effect w:val="none"/>
    </w:rPr>
  </w:style>
  <w:style w:type="character" w:customStyle="1" w:styleId="ListLabel355">
    <w:name w:val="ListLabel 355"/>
    <w:rsid w:val="00ED7F17"/>
    <w:rPr>
      <w:rFonts w:ascii="Wingdings 2" w:hAnsi="Wingdings 2" w:cs="Wingdings 2" w:hint="default"/>
      <w:strike w:val="0"/>
      <w:dstrike w:val="0"/>
      <w:u w:val="none"/>
      <w:effect w:val="none"/>
    </w:rPr>
  </w:style>
  <w:style w:type="character" w:customStyle="1" w:styleId="ListLabel356">
    <w:name w:val="ListLabel 356"/>
    <w:rsid w:val="00ED7F17"/>
    <w:rPr>
      <w:rFonts w:ascii="OpenSymbol" w:hAnsi="OpenSymbol" w:cs="OpenSymbol" w:hint="default"/>
      <w:strike w:val="0"/>
      <w:dstrike w:val="0"/>
      <w:u w:val="none"/>
      <w:effect w:val="none"/>
    </w:rPr>
  </w:style>
  <w:style w:type="character" w:customStyle="1" w:styleId="ListLabel357">
    <w:name w:val="ListLabel 357"/>
    <w:rsid w:val="00ED7F17"/>
    <w:rPr>
      <w:rFonts w:ascii="Wingdings" w:hAnsi="Wingdings" w:cs="Wingdings" w:hint="default"/>
      <w:strike w:val="0"/>
      <w:dstrike w:val="0"/>
      <w:u w:val="none"/>
      <w:effect w:val="none"/>
    </w:rPr>
  </w:style>
  <w:style w:type="character" w:customStyle="1" w:styleId="ListLabel358">
    <w:name w:val="ListLabel 358"/>
    <w:rsid w:val="00ED7F17"/>
    <w:rPr>
      <w:rFonts w:ascii="Wingdings 2" w:hAnsi="Wingdings 2" w:cs="Wingdings 2" w:hint="default"/>
      <w:strike w:val="0"/>
      <w:dstrike w:val="0"/>
      <w:u w:val="none"/>
      <w:effect w:val="none"/>
    </w:rPr>
  </w:style>
  <w:style w:type="character" w:customStyle="1" w:styleId="ListLabel359">
    <w:name w:val="ListLabel 359"/>
    <w:rsid w:val="00ED7F17"/>
    <w:rPr>
      <w:rFonts w:ascii="OpenSymbol" w:hAnsi="OpenSymbol" w:cs="OpenSymbol" w:hint="default"/>
      <w:strike w:val="0"/>
      <w:dstrike w:val="0"/>
      <w:u w:val="none"/>
      <w:effect w:val="none"/>
    </w:rPr>
  </w:style>
  <w:style w:type="character" w:customStyle="1" w:styleId="ListLabel360">
    <w:name w:val="ListLabel 360"/>
    <w:rsid w:val="00ED7F17"/>
    <w:rPr>
      <w:rFonts w:ascii="Wingdings" w:hAnsi="Wingdings" w:cs="Wingdings" w:hint="default"/>
      <w:strike w:val="0"/>
      <w:dstrike w:val="0"/>
      <w:u w:val="none"/>
      <w:effect w:val="none"/>
    </w:rPr>
  </w:style>
  <w:style w:type="character" w:customStyle="1" w:styleId="ListLabel361">
    <w:name w:val="ListLabel 361"/>
    <w:rsid w:val="00ED7F17"/>
    <w:rPr>
      <w:rFonts w:ascii="Wingdings 2" w:hAnsi="Wingdings 2" w:cs="Wingdings 2" w:hint="default"/>
      <w:strike w:val="0"/>
      <w:dstrike w:val="0"/>
      <w:u w:val="none"/>
      <w:effect w:val="none"/>
    </w:rPr>
  </w:style>
  <w:style w:type="character" w:customStyle="1" w:styleId="ListLabel362">
    <w:name w:val="ListLabel 362"/>
    <w:rsid w:val="00ED7F17"/>
    <w:rPr>
      <w:rFonts w:ascii="OpenSymbol" w:hAnsi="OpenSymbol" w:cs="OpenSymbol" w:hint="default"/>
      <w:strike w:val="0"/>
      <w:dstrike w:val="0"/>
      <w:u w:val="none"/>
      <w:effect w:val="none"/>
    </w:rPr>
  </w:style>
  <w:style w:type="character" w:customStyle="1" w:styleId="ListLabel363">
    <w:name w:val="ListLabel 363"/>
    <w:rsid w:val="00ED7F17"/>
    <w:rPr>
      <w:rFonts w:ascii="Times New Roman" w:hAnsi="Times New Roman" w:cs="Wingdings" w:hint="default"/>
      <w:strike w:val="0"/>
      <w:dstrike w:val="0"/>
      <w:sz w:val="24"/>
      <w:u w:val="none"/>
      <w:effect w:val="none"/>
    </w:rPr>
  </w:style>
  <w:style w:type="character" w:customStyle="1" w:styleId="ListLabel364">
    <w:name w:val="ListLabel 364"/>
    <w:rsid w:val="00ED7F17"/>
    <w:rPr>
      <w:rFonts w:ascii="Wingdings 2" w:hAnsi="Wingdings 2" w:cs="Wingdings 2" w:hint="default"/>
      <w:strike w:val="0"/>
      <w:dstrike w:val="0"/>
      <w:u w:val="none"/>
      <w:effect w:val="none"/>
    </w:rPr>
  </w:style>
  <w:style w:type="character" w:customStyle="1" w:styleId="ListLabel365">
    <w:name w:val="ListLabel 365"/>
    <w:rsid w:val="00ED7F17"/>
    <w:rPr>
      <w:rFonts w:ascii="OpenSymbol" w:hAnsi="OpenSymbol" w:cs="OpenSymbol" w:hint="default"/>
      <w:strike w:val="0"/>
      <w:dstrike w:val="0"/>
      <w:u w:val="none"/>
      <w:effect w:val="none"/>
    </w:rPr>
  </w:style>
  <w:style w:type="character" w:customStyle="1" w:styleId="ListLabel366">
    <w:name w:val="ListLabel 366"/>
    <w:rsid w:val="00ED7F17"/>
    <w:rPr>
      <w:rFonts w:ascii="Wingdings" w:hAnsi="Wingdings" w:cs="Wingdings" w:hint="default"/>
      <w:strike w:val="0"/>
      <w:dstrike w:val="0"/>
      <w:u w:val="none"/>
      <w:effect w:val="none"/>
    </w:rPr>
  </w:style>
  <w:style w:type="character" w:customStyle="1" w:styleId="ListLabel367">
    <w:name w:val="ListLabel 367"/>
    <w:rsid w:val="00ED7F17"/>
    <w:rPr>
      <w:rFonts w:ascii="Wingdings 2" w:hAnsi="Wingdings 2" w:cs="Wingdings 2" w:hint="default"/>
      <w:strike w:val="0"/>
      <w:dstrike w:val="0"/>
      <w:u w:val="none"/>
      <w:effect w:val="none"/>
    </w:rPr>
  </w:style>
  <w:style w:type="character" w:customStyle="1" w:styleId="ListLabel368">
    <w:name w:val="ListLabel 368"/>
    <w:rsid w:val="00ED7F17"/>
    <w:rPr>
      <w:rFonts w:ascii="OpenSymbol" w:hAnsi="OpenSymbol" w:cs="OpenSymbol" w:hint="default"/>
      <w:strike w:val="0"/>
      <w:dstrike w:val="0"/>
      <w:u w:val="none"/>
      <w:effect w:val="none"/>
    </w:rPr>
  </w:style>
  <w:style w:type="character" w:customStyle="1" w:styleId="ListLabel369">
    <w:name w:val="ListLabel 369"/>
    <w:rsid w:val="00ED7F17"/>
    <w:rPr>
      <w:rFonts w:ascii="Wingdings" w:hAnsi="Wingdings" w:cs="Wingdings" w:hint="default"/>
      <w:strike w:val="0"/>
      <w:dstrike w:val="0"/>
      <w:u w:val="none"/>
      <w:effect w:val="none"/>
    </w:rPr>
  </w:style>
  <w:style w:type="character" w:customStyle="1" w:styleId="ListLabel370">
    <w:name w:val="ListLabel 370"/>
    <w:rsid w:val="00ED7F17"/>
    <w:rPr>
      <w:rFonts w:ascii="Wingdings 2" w:hAnsi="Wingdings 2" w:cs="Wingdings 2" w:hint="default"/>
      <w:strike w:val="0"/>
      <w:dstrike w:val="0"/>
      <w:u w:val="none"/>
      <w:effect w:val="none"/>
    </w:rPr>
  </w:style>
  <w:style w:type="character" w:customStyle="1" w:styleId="ListLabel371">
    <w:name w:val="ListLabel 371"/>
    <w:rsid w:val="00ED7F17"/>
    <w:rPr>
      <w:rFonts w:ascii="OpenSymbol" w:hAnsi="OpenSymbol" w:cs="OpenSymbol" w:hint="default"/>
      <w:strike w:val="0"/>
      <w:dstrike w:val="0"/>
      <w:u w:val="none"/>
      <w:effect w:val="none"/>
    </w:rPr>
  </w:style>
  <w:style w:type="character" w:customStyle="1" w:styleId="ListLabel372">
    <w:name w:val="ListLabel 372"/>
    <w:rsid w:val="00ED7F17"/>
    <w:rPr>
      <w:rFonts w:ascii="Times New Roman" w:hAnsi="Times New Roman" w:cs="Wingdings" w:hint="default"/>
      <w:strike w:val="0"/>
      <w:dstrike w:val="0"/>
      <w:sz w:val="24"/>
      <w:u w:val="none"/>
      <w:effect w:val="none"/>
    </w:rPr>
  </w:style>
  <w:style w:type="character" w:customStyle="1" w:styleId="ListLabel373">
    <w:name w:val="ListLabel 373"/>
    <w:rsid w:val="00ED7F17"/>
    <w:rPr>
      <w:rFonts w:ascii="Wingdings 2" w:hAnsi="Wingdings 2" w:cs="Wingdings 2" w:hint="default"/>
      <w:strike w:val="0"/>
      <w:dstrike w:val="0"/>
      <w:u w:val="none"/>
      <w:effect w:val="none"/>
    </w:rPr>
  </w:style>
  <w:style w:type="character" w:customStyle="1" w:styleId="ListLabel374">
    <w:name w:val="ListLabel 374"/>
    <w:rsid w:val="00ED7F17"/>
    <w:rPr>
      <w:rFonts w:ascii="OpenSymbol" w:hAnsi="OpenSymbol" w:cs="OpenSymbol" w:hint="default"/>
      <w:strike w:val="0"/>
      <w:dstrike w:val="0"/>
      <w:u w:val="none"/>
      <w:effect w:val="none"/>
    </w:rPr>
  </w:style>
  <w:style w:type="character" w:customStyle="1" w:styleId="ListLabel375">
    <w:name w:val="ListLabel 375"/>
    <w:rsid w:val="00ED7F17"/>
    <w:rPr>
      <w:rFonts w:ascii="Wingdings" w:hAnsi="Wingdings" w:cs="Wingdings" w:hint="default"/>
      <w:strike w:val="0"/>
      <w:dstrike w:val="0"/>
      <w:u w:val="none"/>
      <w:effect w:val="none"/>
    </w:rPr>
  </w:style>
  <w:style w:type="character" w:customStyle="1" w:styleId="ListLabel376">
    <w:name w:val="ListLabel 376"/>
    <w:rsid w:val="00ED7F17"/>
    <w:rPr>
      <w:rFonts w:ascii="Wingdings 2" w:hAnsi="Wingdings 2" w:cs="Wingdings 2" w:hint="default"/>
      <w:strike w:val="0"/>
      <w:dstrike w:val="0"/>
      <w:u w:val="none"/>
      <w:effect w:val="none"/>
    </w:rPr>
  </w:style>
  <w:style w:type="character" w:customStyle="1" w:styleId="ListLabel377">
    <w:name w:val="ListLabel 377"/>
    <w:rsid w:val="00ED7F17"/>
    <w:rPr>
      <w:rFonts w:ascii="OpenSymbol" w:hAnsi="OpenSymbol" w:cs="OpenSymbol" w:hint="default"/>
      <w:strike w:val="0"/>
      <w:dstrike w:val="0"/>
      <w:u w:val="none"/>
      <w:effect w:val="none"/>
    </w:rPr>
  </w:style>
  <w:style w:type="character" w:customStyle="1" w:styleId="ListLabel378">
    <w:name w:val="ListLabel 378"/>
    <w:rsid w:val="00ED7F17"/>
    <w:rPr>
      <w:rFonts w:ascii="Wingdings" w:hAnsi="Wingdings" w:cs="Wingdings" w:hint="default"/>
      <w:strike w:val="0"/>
      <w:dstrike w:val="0"/>
      <w:u w:val="none"/>
      <w:effect w:val="none"/>
    </w:rPr>
  </w:style>
  <w:style w:type="character" w:customStyle="1" w:styleId="ListLabel379">
    <w:name w:val="ListLabel 379"/>
    <w:rsid w:val="00ED7F17"/>
    <w:rPr>
      <w:rFonts w:ascii="Wingdings 2" w:hAnsi="Wingdings 2" w:cs="Wingdings 2" w:hint="default"/>
      <w:strike w:val="0"/>
      <w:dstrike w:val="0"/>
      <w:u w:val="none"/>
      <w:effect w:val="none"/>
    </w:rPr>
  </w:style>
  <w:style w:type="character" w:customStyle="1" w:styleId="ListLabel380">
    <w:name w:val="ListLabel 380"/>
    <w:rsid w:val="00ED7F17"/>
    <w:rPr>
      <w:rFonts w:ascii="OpenSymbol" w:hAnsi="OpenSymbol" w:cs="OpenSymbol" w:hint="default"/>
      <w:strike w:val="0"/>
      <w:dstrike w:val="0"/>
      <w:u w:val="none"/>
      <w:effect w:val="none"/>
    </w:rPr>
  </w:style>
  <w:style w:type="character" w:customStyle="1" w:styleId="ListLabel381">
    <w:name w:val="ListLabel 381"/>
    <w:rsid w:val="00ED7F17"/>
    <w:rPr>
      <w:rFonts w:ascii="Times New Roman" w:hAnsi="Times New Roman" w:cs="Times New Roman" w:hint="default"/>
      <w:b w:val="0"/>
      <w:bCs w:val="0"/>
      <w:i w:val="0"/>
      <w:iCs w:val="0"/>
      <w:caps w:val="0"/>
      <w:smallCaps w:val="0"/>
      <w:strike w:val="0"/>
      <w:dstrike w:val="0"/>
      <w:color w:val="000000"/>
      <w:sz w:val="24"/>
      <w:szCs w:val="24"/>
      <w:u w:val="none"/>
      <w:effect w:val="none"/>
    </w:rPr>
  </w:style>
  <w:style w:type="character" w:customStyle="1" w:styleId="ListLabel382">
    <w:name w:val="ListLabel 382"/>
    <w:rsid w:val="00ED7F17"/>
    <w:rPr>
      <w:rFonts w:ascii="Wingdings 2" w:hAnsi="Wingdings 2" w:cs="Wingdings 2" w:hint="default"/>
      <w:strike w:val="0"/>
      <w:dstrike w:val="0"/>
      <w:u w:val="none"/>
      <w:effect w:val="none"/>
    </w:rPr>
  </w:style>
  <w:style w:type="character" w:customStyle="1" w:styleId="ListLabel383">
    <w:name w:val="ListLabel 383"/>
    <w:rsid w:val="00ED7F17"/>
    <w:rPr>
      <w:rFonts w:ascii="OpenSymbol" w:hAnsi="OpenSymbol" w:cs="OpenSymbol" w:hint="default"/>
      <w:strike w:val="0"/>
      <w:dstrike w:val="0"/>
      <w:u w:val="none"/>
      <w:effect w:val="none"/>
    </w:rPr>
  </w:style>
  <w:style w:type="character" w:customStyle="1" w:styleId="ListLabel384">
    <w:name w:val="ListLabel 384"/>
    <w:rsid w:val="00ED7F17"/>
    <w:rPr>
      <w:rFonts w:ascii="Wingdings" w:hAnsi="Wingdings" w:cs="Wingdings" w:hint="default"/>
      <w:strike w:val="0"/>
      <w:dstrike w:val="0"/>
      <w:u w:val="none"/>
      <w:effect w:val="none"/>
    </w:rPr>
  </w:style>
  <w:style w:type="character" w:customStyle="1" w:styleId="ListLabel385">
    <w:name w:val="ListLabel 385"/>
    <w:rsid w:val="00ED7F17"/>
    <w:rPr>
      <w:rFonts w:ascii="Wingdings 2" w:hAnsi="Wingdings 2" w:cs="Wingdings 2" w:hint="default"/>
      <w:strike w:val="0"/>
      <w:dstrike w:val="0"/>
      <w:u w:val="none"/>
      <w:effect w:val="none"/>
    </w:rPr>
  </w:style>
  <w:style w:type="character" w:customStyle="1" w:styleId="ListLabel386">
    <w:name w:val="ListLabel 386"/>
    <w:rsid w:val="00ED7F17"/>
    <w:rPr>
      <w:rFonts w:ascii="OpenSymbol" w:hAnsi="OpenSymbol" w:cs="OpenSymbol" w:hint="default"/>
      <w:strike w:val="0"/>
      <w:dstrike w:val="0"/>
      <w:u w:val="none"/>
      <w:effect w:val="none"/>
    </w:rPr>
  </w:style>
  <w:style w:type="character" w:customStyle="1" w:styleId="ListLabel387">
    <w:name w:val="ListLabel 387"/>
    <w:rsid w:val="00ED7F17"/>
    <w:rPr>
      <w:rFonts w:ascii="Wingdings" w:hAnsi="Wingdings" w:cs="Wingdings" w:hint="default"/>
      <w:strike w:val="0"/>
      <w:dstrike w:val="0"/>
      <w:u w:val="none"/>
      <w:effect w:val="none"/>
    </w:rPr>
  </w:style>
  <w:style w:type="character" w:customStyle="1" w:styleId="ListLabel388">
    <w:name w:val="ListLabel 388"/>
    <w:rsid w:val="00ED7F17"/>
    <w:rPr>
      <w:rFonts w:ascii="Wingdings 2" w:hAnsi="Wingdings 2" w:cs="Wingdings 2" w:hint="default"/>
      <w:strike w:val="0"/>
      <w:dstrike w:val="0"/>
      <w:u w:val="none"/>
      <w:effect w:val="none"/>
    </w:rPr>
  </w:style>
  <w:style w:type="character" w:customStyle="1" w:styleId="ListLabel389">
    <w:name w:val="ListLabel 389"/>
    <w:rsid w:val="00ED7F17"/>
    <w:rPr>
      <w:rFonts w:ascii="OpenSymbol" w:hAnsi="OpenSymbol" w:cs="OpenSymbol" w:hint="default"/>
      <w:strike w:val="0"/>
      <w:dstrike w:val="0"/>
      <w:u w:val="none"/>
      <w:effect w:val="none"/>
    </w:rPr>
  </w:style>
  <w:style w:type="character" w:customStyle="1" w:styleId="ListLabel390">
    <w:name w:val="ListLabel 390"/>
    <w:rsid w:val="00ED7F17"/>
    <w:rPr>
      <w:rFonts w:ascii="Times New Roman" w:hAnsi="Times New Roman" w:cs="Wingdings" w:hint="default"/>
      <w:b/>
      <w:bCs w:val="0"/>
      <w:strike w:val="0"/>
      <w:dstrike w:val="0"/>
      <w:sz w:val="24"/>
      <w:u w:val="none"/>
      <w:effect w:val="none"/>
    </w:rPr>
  </w:style>
  <w:style w:type="character" w:customStyle="1" w:styleId="ListLabel391">
    <w:name w:val="ListLabel 391"/>
    <w:rsid w:val="00ED7F17"/>
    <w:rPr>
      <w:rFonts w:ascii="Wingdings 2" w:hAnsi="Wingdings 2" w:cs="Wingdings 2" w:hint="default"/>
      <w:strike w:val="0"/>
      <w:dstrike w:val="0"/>
      <w:u w:val="none"/>
      <w:effect w:val="none"/>
    </w:rPr>
  </w:style>
  <w:style w:type="character" w:customStyle="1" w:styleId="ListLabel392">
    <w:name w:val="ListLabel 392"/>
    <w:rsid w:val="00ED7F17"/>
    <w:rPr>
      <w:rFonts w:ascii="OpenSymbol" w:hAnsi="OpenSymbol" w:cs="OpenSymbol" w:hint="default"/>
      <w:strike w:val="0"/>
      <w:dstrike w:val="0"/>
      <w:u w:val="none"/>
      <w:effect w:val="none"/>
    </w:rPr>
  </w:style>
  <w:style w:type="character" w:customStyle="1" w:styleId="ListLabel393">
    <w:name w:val="ListLabel 393"/>
    <w:rsid w:val="00ED7F17"/>
    <w:rPr>
      <w:rFonts w:ascii="Wingdings" w:hAnsi="Wingdings" w:cs="Wingdings" w:hint="default"/>
      <w:strike w:val="0"/>
      <w:dstrike w:val="0"/>
      <w:u w:val="none"/>
      <w:effect w:val="none"/>
    </w:rPr>
  </w:style>
  <w:style w:type="character" w:customStyle="1" w:styleId="ListLabel394">
    <w:name w:val="ListLabel 394"/>
    <w:rsid w:val="00ED7F17"/>
    <w:rPr>
      <w:rFonts w:ascii="Wingdings 2" w:hAnsi="Wingdings 2" w:cs="Wingdings 2" w:hint="default"/>
      <w:strike w:val="0"/>
      <w:dstrike w:val="0"/>
      <w:u w:val="none"/>
      <w:effect w:val="none"/>
    </w:rPr>
  </w:style>
  <w:style w:type="character" w:customStyle="1" w:styleId="ListLabel395">
    <w:name w:val="ListLabel 395"/>
    <w:rsid w:val="00ED7F17"/>
    <w:rPr>
      <w:rFonts w:ascii="OpenSymbol" w:hAnsi="OpenSymbol" w:cs="OpenSymbol" w:hint="default"/>
      <w:strike w:val="0"/>
      <w:dstrike w:val="0"/>
      <w:u w:val="none"/>
      <w:effect w:val="none"/>
    </w:rPr>
  </w:style>
  <w:style w:type="character" w:customStyle="1" w:styleId="ListLabel396">
    <w:name w:val="ListLabel 396"/>
    <w:rsid w:val="00ED7F17"/>
    <w:rPr>
      <w:rFonts w:ascii="Wingdings" w:hAnsi="Wingdings" w:cs="Wingdings" w:hint="default"/>
      <w:strike w:val="0"/>
      <w:dstrike w:val="0"/>
      <w:u w:val="none"/>
      <w:effect w:val="none"/>
    </w:rPr>
  </w:style>
  <w:style w:type="character" w:customStyle="1" w:styleId="ListLabel397">
    <w:name w:val="ListLabel 397"/>
    <w:rsid w:val="00ED7F17"/>
    <w:rPr>
      <w:rFonts w:ascii="Wingdings 2" w:hAnsi="Wingdings 2" w:cs="Wingdings 2" w:hint="default"/>
      <w:strike w:val="0"/>
      <w:dstrike w:val="0"/>
      <w:u w:val="none"/>
      <w:effect w:val="none"/>
    </w:rPr>
  </w:style>
  <w:style w:type="character" w:customStyle="1" w:styleId="ListLabel398">
    <w:name w:val="ListLabel 398"/>
    <w:rsid w:val="00ED7F17"/>
    <w:rPr>
      <w:rFonts w:ascii="OpenSymbol" w:hAnsi="OpenSymbol" w:cs="OpenSymbol" w:hint="default"/>
      <w:strike w:val="0"/>
      <w:dstrike w:val="0"/>
      <w:u w:val="none"/>
      <w:effect w:val="none"/>
    </w:rPr>
  </w:style>
  <w:style w:type="character" w:customStyle="1" w:styleId="ListLabel399">
    <w:name w:val="ListLabel 399"/>
    <w:rsid w:val="00ED7F17"/>
    <w:rPr>
      <w:rFonts w:ascii="Times New Roman" w:hAnsi="Times New Roman" w:cs="Symbol" w:hint="default"/>
      <w:sz w:val="24"/>
    </w:rPr>
  </w:style>
  <w:style w:type="character" w:customStyle="1" w:styleId="ListLabel400">
    <w:name w:val="ListLabel 400"/>
    <w:rsid w:val="00ED7F17"/>
    <w:rPr>
      <w:rFonts w:ascii="Courier New" w:hAnsi="Courier New" w:cs="Courier New" w:hint="default"/>
    </w:rPr>
  </w:style>
  <w:style w:type="character" w:customStyle="1" w:styleId="ListLabel401">
    <w:name w:val="ListLabel 401"/>
    <w:rsid w:val="00ED7F17"/>
    <w:rPr>
      <w:rFonts w:ascii="Wingdings" w:hAnsi="Wingdings" w:cs="Wingdings" w:hint="default"/>
    </w:rPr>
  </w:style>
  <w:style w:type="character" w:customStyle="1" w:styleId="ListLabel402">
    <w:name w:val="ListLabel 402"/>
    <w:rsid w:val="00ED7F17"/>
    <w:rPr>
      <w:rFonts w:ascii="Symbol" w:hAnsi="Symbol" w:cs="Symbol" w:hint="default"/>
    </w:rPr>
  </w:style>
  <w:style w:type="character" w:customStyle="1" w:styleId="ListLabel403">
    <w:name w:val="ListLabel 403"/>
    <w:rsid w:val="00ED7F17"/>
    <w:rPr>
      <w:rFonts w:ascii="Courier New" w:hAnsi="Courier New" w:cs="Courier New" w:hint="default"/>
    </w:rPr>
  </w:style>
  <w:style w:type="character" w:customStyle="1" w:styleId="ListLabel404">
    <w:name w:val="ListLabel 404"/>
    <w:rsid w:val="00ED7F17"/>
    <w:rPr>
      <w:rFonts w:ascii="Wingdings" w:hAnsi="Wingdings" w:cs="Wingdings" w:hint="default"/>
    </w:rPr>
  </w:style>
  <w:style w:type="character" w:customStyle="1" w:styleId="ListLabel405">
    <w:name w:val="ListLabel 405"/>
    <w:rsid w:val="00ED7F17"/>
    <w:rPr>
      <w:rFonts w:ascii="Symbol" w:hAnsi="Symbol" w:cs="Symbol" w:hint="default"/>
    </w:rPr>
  </w:style>
  <w:style w:type="character" w:customStyle="1" w:styleId="ListLabel406">
    <w:name w:val="ListLabel 406"/>
    <w:rsid w:val="00ED7F17"/>
    <w:rPr>
      <w:rFonts w:ascii="Courier New" w:hAnsi="Courier New" w:cs="Courier New" w:hint="default"/>
    </w:rPr>
  </w:style>
  <w:style w:type="character" w:customStyle="1" w:styleId="ListLabel407">
    <w:name w:val="ListLabel 407"/>
    <w:rsid w:val="00ED7F17"/>
    <w:rPr>
      <w:rFonts w:ascii="Wingdings" w:hAnsi="Wingdings" w:cs="Wingdings" w:hint="default"/>
    </w:rPr>
  </w:style>
  <w:style w:type="character" w:customStyle="1" w:styleId="ListLabel408">
    <w:name w:val="ListLabel 408"/>
    <w:rsid w:val="00ED7F17"/>
    <w:rPr>
      <w:rFonts w:ascii="Times New Roman" w:hAnsi="Times New Roman" w:cs="Symbol" w:hint="default"/>
      <w:sz w:val="24"/>
    </w:rPr>
  </w:style>
  <w:style w:type="character" w:customStyle="1" w:styleId="ListLabel409">
    <w:name w:val="ListLabel 409"/>
    <w:rsid w:val="00ED7F17"/>
    <w:rPr>
      <w:rFonts w:ascii="Courier New" w:hAnsi="Courier New" w:cs="Courier New" w:hint="default"/>
    </w:rPr>
  </w:style>
  <w:style w:type="character" w:customStyle="1" w:styleId="ListLabel410">
    <w:name w:val="ListLabel 410"/>
    <w:rsid w:val="00ED7F17"/>
    <w:rPr>
      <w:rFonts w:ascii="Wingdings" w:hAnsi="Wingdings" w:cs="Wingdings" w:hint="default"/>
    </w:rPr>
  </w:style>
  <w:style w:type="character" w:customStyle="1" w:styleId="ListLabel411">
    <w:name w:val="ListLabel 411"/>
    <w:rsid w:val="00ED7F17"/>
    <w:rPr>
      <w:rFonts w:ascii="Symbol" w:hAnsi="Symbol" w:cs="Symbol" w:hint="default"/>
    </w:rPr>
  </w:style>
  <w:style w:type="character" w:customStyle="1" w:styleId="ListLabel412">
    <w:name w:val="ListLabel 412"/>
    <w:rsid w:val="00ED7F17"/>
    <w:rPr>
      <w:rFonts w:ascii="Courier New" w:hAnsi="Courier New" w:cs="Courier New" w:hint="default"/>
    </w:rPr>
  </w:style>
  <w:style w:type="character" w:customStyle="1" w:styleId="ListLabel413">
    <w:name w:val="ListLabel 413"/>
    <w:rsid w:val="00ED7F17"/>
    <w:rPr>
      <w:rFonts w:ascii="Wingdings" w:hAnsi="Wingdings" w:cs="Wingdings" w:hint="default"/>
    </w:rPr>
  </w:style>
  <w:style w:type="character" w:customStyle="1" w:styleId="ListLabel414">
    <w:name w:val="ListLabel 414"/>
    <w:rsid w:val="00ED7F17"/>
    <w:rPr>
      <w:rFonts w:ascii="Symbol" w:hAnsi="Symbol" w:cs="Symbol" w:hint="default"/>
    </w:rPr>
  </w:style>
  <w:style w:type="character" w:customStyle="1" w:styleId="ListLabel415">
    <w:name w:val="ListLabel 415"/>
    <w:rsid w:val="00ED7F17"/>
    <w:rPr>
      <w:rFonts w:ascii="Courier New" w:hAnsi="Courier New" w:cs="Courier New" w:hint="default"/>
    </w:rPr>
  </w:style>
  <w:style w:type="character" w:customStyle="1" w:styleId="ListLabel416">
    <w:name w:val="ListLabel 416"/>
    <w:rsid w:val="00ED7F17"/>
    <w:rPr>
      <w:rFonts w:ascii="Wingdings" w:hAnsi="Wingdings" w:cs="Wingdings" w:hint="default"/>
    </w:rPr>
  </w:style>
  <w:style w:type="character" w:customStyle="1" w:styleId="ListLabel417">
    <w:name w:val="ListLabel 417"/>
    <w:rsid w:val="00ED7F17"/>
    <w:rPr>
      <w:rFonts w:ascii="Times New Roman" w:hAnsi="Times New Roman" w:cs="Courier New" w:hint="default"/>
      <w:sz w:val="24"/>
    </w:rPr>
  </w:style>
  <w:style w:type="character" w:customStyle="1" w:styleId="ListLabel418">
    <w:name w:val="ListLabel 418"/>
    <w:rsid w:val="00ED7F17"/>
    <w:rPr>
      <w:rFonts w:ascii="Courier New" w:hAnsi="Courier New" w:cs="Courier New" w:hint="default"/>
    </w:rPr>
  </w:style>
  <w:style w:type="character" w:customStyle="1" w:styleId="ListLabel419">
    <w:name w:val="ListLabel 419"/>
    <w:rsid w:val="00ED7F17"/>
    <w:rPr>
      <w:rFonts w:ascii="Wingdings" w:hAnsi="Wingdings" w:cs="Wingdings" w:hint="default"/>
    </w:rPr>
  </w:style>
  <w:style w:type="character" w:customStyle="1" w:styleId="ListLabel420">
    <w:name w:val="ListLabel 420"/>
    <w:rsid w:val="00ED7F17"/>
    <w:rPr>
      <w:rFonts w:ascii="Symbol" w:hAnsi="Symbol" w:cs="Symbol" w:hint="default"/>
    </w:rPr>
  </w:style>
  <w:style w:type="character" w:customStyle="1" w:styleId="ListLabel421">
    <w:name w:val="ListLabel 421"/>
    <w:rsid w:val="00ED7F17"/>
    <w:rPr>
      <w:rFonts w:ascii="Courier New" w:hAnsi="Courier New" w:cs="Courier New" w:hint="default"/>
    </w:rPr>
  </w:style>
  <w:style w:type="character" w:customStyle="1" w:styleId="ListLabel422">
    <w:name w:val="ListLabel 422"/>
    <w:rsid w:val="00ED7F17"/>
    <w:rPr>
      <w:rFonts w:ascii="Wingdings" w:hAnsi="Wingdings" w:cs="Wingdings" w:hint="default"/>
    </w:rPr>
  </w:style>
  <w:style w:type="character" w:customStyle="1" w:styleId="ListLabel423">
    <w:name w:val="ListLabel 423"/>
    <w:rsid w:val="00ED7F17"/>
    <w:rPr>
      <w:rFonts w:ascii="Symbol" w:hAnsi="Symbol" w:cs="Symbol" w:hint="default"/>
    </w:rPr>
  </w:style>
  <w:style w:type="character" w:customStyle="1" w:styleId="ListLabel424">
    <w:name w:val="ListLabel 424"/>
    <w:rsid w:val="00ED7F17"/>
    <w:rPr>
      <w:rFonts w:ascii="Courier New" w:hAnsi="Courier New" w:cs="Courier New" w:hint="default"/>
    </w:rPr>
  </w:style>
  <w:style w:type="character" w:customStyle="1" w:styleId="ListLabel425">
    <w:name w:val="ListLabel 425"/>
    <w:rsid w:val="00ED7F17"/>
    <w:rPr>
      <w:rFonts w:ascii="Wingdings" w:hAnsi="Wingdings" w:cs="Wingdings" w:hint="default"/>
    </w:rPr>
  </w:style>
  <w:style w:type="character" w:customStyle="1" w:styleId="ListLabel426">
    <w:name w:val="ListLabel 426"/>
    <w:rsid w:val="00ED7F17"/>
    <w:rPr>
      <w:rFonts w:ascii="Times New Roman" w:hAnsi="Times New Roman" w:cs="Wingdings" w:hint="default"/>
      <w:strike w:val="0"/>
      <w:dstrike w:val="0"/>
      <w:sz w:val="24"/>
      <w:u w:val="none"/>
      <w:effect w:val="none"/>
    </w:rPr>
  </w:style>
  <w:style w:type="character" w:customStyle="1" w:styleId="ListLabel427">
    <w:name w:val="ListLabel 427"/>
    <w:rsid w:val="00ED7F17"/>
    <w:rPr>
      <w:rFonts w:ascii="Wingdings 2" w:hAnsi="Wingdings 2" w:cs="Wingdings 2" w:hint="default"/>
      <w:strike w:val="0"/>
      <w:dstrike w:val="0"/>
      <w:u w:val="none"/>
      <w:effect w:val="none"/>
    </w:rPr>
  </w:style>
  <w:style w:type="character" w:customStyle="1" w:styleId="ListLabel428">
    <w:name w:val="ListLabel 428"/>
    <w:rsid w:val="00ED7F17"/>
    <w:rPr>
      <w:rFonts w:ascii="OpenSymbol" w:hAnsi="OpenSymbol" w:cs="OpenSymbol" w:hint="default"/>
      <w:strike w:val="0"/>
      <w:dstrike w:val="0"/>
      <w:u w:val="none"/>
      <w:effect w:val="none"/>
    </w:rPr>
  </w:style>
  <w:style w:type="character" w:customStyle="1" w:styleId="ListLabel429">
    <w:name w:val="ListLabel 429"/>
    <w:rsid w:val="00ED7F17"/>
    <w:rPr>
      <w:rFonts w:ascii="Wingdings" w:hAnsi="Wingdings" w:cs="Wingdings" w:hint="default"/>
      <w:strike w:val="0"/>
      <w:dstrike w:val="0"/>
      <w:u w:val="none"/>
      <w:effect w:val="none"/>
    </w:rPr>
  </w:style>
  <w:style w:type="character" w:customStyle="1" w:styleId="ListLabel430">
    <w:name w:val="ListLabel 430"/>
    <w:rsid w:val="00ED7F17"/>
    <w:rPr>
      <w:rFonts w:ascii="Wingdings 2" w:hAnsi="Wingdings 2" w:cs="Wingdings 2" w:hint="default"/>
      <w:strike w:val="0"/>
      <w:dstrike w:val="0"/>
      <w:u w:val="none"/>
      <w:effect w:val="none"/>
    </w:rPr>
  </w:style>
  <w:style w:type="character" w:customStyle="1" w:styleId="ListLabel431">
    <w:name w:val="ListLabel 431"/>
    <w:rsid w:val="00ED7F17"/>
    <w:rPr>
      <w:rFonts w:ascii="OpenSymbol" w:hAnsi="OpenSymbol" w:cs="OpenSymbol" w:hint="default"/>
      <w:strike w:val="0"/>
      <w:dstrike w:val="0"/>
      <w:u w:val="none"/>
      <w:effect w:val="none"/>
    </w:rPr>
  </w:style>
  <w:style w:type="character" w:customStyle="1" w:styleId="ListLabel432">
    <w:name w:val="ListLabel 432"/>
    <w:rsid w:val="00ED7F17"/>
    <w:rPr>
      <w:rFonts w:ascii="Wingdings" w:hAnsi="Wingdings" w:cs="Wingdings" w:hint="default"/>
      <w:strike w:val="0"/>
      <w:dstrike w:val="0"/>
      <w:u w:val="none"/>
      <w:effect w:val="none"/>
    </w:rPr>
  </w:style>
  <w:style w:type="character" w:customStyle="1" w:styleId="ListLabel433">
    <w:name w:val="ListLabel 433"/>
    <w:rsid w:val="00ED7F17"/>
    <w:rPr>
      <w:rFonts w:ascii="Wingdings 2" w:hAnsi="Wingdings 2" w:cs="Wingdings 2" w:hint="default"/>
      <w:strike w:val="0"/>
      <w:dstrike w:val="0"/>
      <w:u w:val="none"/>
      <w:effect w:val="none"/>
    </w:rPr>
  </w:style>
  <w:style w:type="character" w:customStyle="1" w:styleId="ListLabel434">
    <w:name w:val="ListLabel 434"/>
    <w:rsid w:val="00ED7F17"/>
    <w:rPr>
      <w:rFonts w:ascii="OpenSymbol" w:hAnsi="OpenSymbol" w:cs="OpenSymbol" w:hint="default"/>
      <w:strike w:val="0"/>
      <w:dstrike w:val="0"/>
      <w:u w:val="none"/>
      <w:effect w:val="none"/>
    </w:rPr>
  </w:style>
  <w:style w:type="character" w:customStyle="1" w:styleId="ListLabel435">
    <w:name w:val="ListLabel 435"/>
    <w:rsid w:val="00ED7F17"/>
    <w:rPr>
      <w:rFonts w:ascii="Times New Roman" w:hAnsi="Times New Roman" w:cs="Wingdings" w:hint="default"/>
      <w:strike w:val="0"/>
      <w:dstrike w:val="0"/>
      <w:sz w:val="24"/>
      <w:u w:val="none"/>
      <w:effect w:val="none"/>
    </w:rPr>
  </w:style>
  <w:style w:type="character" w:customStyle="1" w:styleId="ListLabel436">
    <w:name w:val="ListLabel 436"/>
    <w:rsid w:val="00ED7F17"/>
    <w:rPr>
      <w:rFonts w:ascii="Wingdings 2" w:hAnsi="Wingdings 2" w:cs="Wingdings 2" w:hint="default"/>
      <w:strike w:val="0"/>
      <w:dstrike w:val="0"/>
      <w:u w:val="none"/>
      <w:effect w:val="none"/>
    </w:rPr>
  </w:style>
  <w:style w:type="character" w:customStyle="1" w:styleId="ListLabel437">
    <w:name w:val="ListLabel 437"/>
    <w:rsid w:val="00ED7F17"/>
    <w:rPr>
      <w:rFonts w:ascii="OpenSymbol" w:hAnsi="OpenSymbol" w:cs="OpenSymbol" w:hint="default"/>
      <w:strike w:val="0"/>
      <w:dstrike w:val="0"/>
      <w:u w:val="none"/>
      <w:effect w:val="none"/>
    </w:rPr>
  </w:style>
  <w:style w:type="character" w:customStyle="1" w:styleId="ListLabel438">
    <w:name w:val="ListLabel 438"/>
    <w:rsid w:val="00ED7F17"/>
    <w:rPr>
      <w:rFonts w:ascii="Wingdings" w:hAnsi="Wingdings" w:cs="Wingdings" w:hint="default"/>
      <w:strike w:val="0"/>
      <w:dstrike w:val="0"/>
      <w:u w:val="none"/>
      <w:effect w:val="none"/>
    </w:rPr>
  </w:style>
  <w:style w:type="character" w:customStyle="1" w:styleId="ListLabel439">
    <w:name w:val="ListLabel 439"/>
    <w:rsid w:val="00ED7F17"/>
    <w:rPr>
      <w:rFonts w:ascii="Wingdings 2" w:hAnsi="Wingdings 2" w:cs="Wingdings 2" w:hint="default"/>
      <w:strike w:val="0"/>
      <w:dstrike w:val="0"/>
      <w:u w:val="none"/>
      <w:effect w:val="none"/>
    </w:rPr>
  </w:style>
  <w:style w:type="character" w:customStyle="1" w:styleId="ListLabel440">
    <w:name w:val="ListLabel 440"/>
    <w:rsid w:val="00ED7F17"/>
    <w:rPr>
      <w:rFonts w:ascii="OpenSymbol" w:hAnsi="OpenSymbol" w:cs="OpenSymbol" w:hint="default"/>
      <w:strike w:val="0"/>
      <w:dstrike w:val="0"/>
      <w:u w:val="none"/>
      <w:effect w:val="none"/>
    </w:rPr>
  </w:style>
  <w:style w:type="character" w:customStyle="1" w:styleId="ListLabel441">
    <w:name w:val="ListLabel 441"/>
    <w:rsid w:val="00ED7F17"/>
    <w:rPr>
      <w:rFonts w:ascii="Wingdings" w:hAnsi="Wingdings" w:cs="Wingdings" w:hint="default"/>
      <w:strike w:val="0"/>
      <w:dstrike w:val="0"/>
      <w:u w:val="none"/>
      <w:effect w:val="none"/>
    </w:rPr>
  </w:style>
  <w:style w:type="character" w:customStyle="1" w:styleId="ListLabel442">
    <w:name w:val="ListLabel 442"/>
    <w:rsid w:val="00ED7F17"/>
    <w:rPr>
      <w:rFonts w:ascii="Wingdings 2" w:hAnsi="Wingdings 2" w:cs="Wingdings 2" w:hint="default"/>
      <w:strike w:val="0"/>
      <w:dstrike w:val="0"/>
      <w:u w:val="none"/>
      <w:effect w:val="none"/>
    </w:rPr>
  </w:style>
  <w:style w:type="character" w:customStyle="1" w:styleId="ListLabel443">
    <w:name w:val="ListLabel 443"/>
    <w:rsid w:val="00ED7F17"/>
    <w:rPr>
      <w:rFonts w:ascii="OpenSymbol" w:hAnsi="OpenSymbol" w:cs="OpenSymbol" w:hint="default"/>
      <w:strike w:val="0"/>
      <w:dstrike w:val="0"/>
      <w:u w:val="none"/>
      <w:effect w:val="none"/>
    </w:rPr>
  </w:style>
  <w:style w:type="character" w:customStyle="1" w:styleId="ListLabel444">
    <w:name w:val="ListLabel 444"/>
    <w:rsid w:val="00ED7F17"/>
    <w:rPr>
      <w:rFonts w:ascii="Times New Roman" w:hAnsi="Times New Roman" w:cs="Symbol" w:hint="default"/>
      <w:sz w:val="24"/>
    </w:rPr>
  </w:style>
  <w:style w:type="character" w:customStyle="1" w:styleId="ListLabel445">
    <w:name w:val="ListLabel 445"/>
    <w:rsid w:val="00ED7F17"/>
    <w:rPr>
      <w:rFonts w:ascii="Courier New" w:hAnsi="Courier New" w:cs="Courier New" w:hint="default"/>
    </w:rPr>
  </w:style>
  <w:style w:type="character" w:customStyle="1" w:styleId="ListLabel446">
    <w:name w:val="ListLabel 446"/>
    <w:rsid w:val="00ED7F17"/>
    <w:rPr>
      <w:rFonts w:ascii="Wingdings" w:hAnsi="Wingdings" w:cs="Wingdings" w:hint="default"/>
    </w:rPr>
  </w:style>
  <w:style w:type="character" w:customStyle="1" w:styleId="ListLabel447">
    <w:name w:val="ListLabel 447"/>
    <w:rsid w:val="00ED7F17"/>
    <w:rPr>
      <w:rFonts w:ascii="Symbol" w:hAnsi="Symbol" w:cs="Symbol" w:hint="default"/>
    </w:rPr>
  </w:style>
  <w:style w:type="character" w:customStyle="1" w:styleId="ListLabel448">
    <w:name w:val="ListLabel 448"/>
    <w:rsid w:val="00ED7F17"/>
    <w:rPr>
      <w:rFonts w:ascii="Courier New" w:hAnsi="Courier New" w:cs="Courier New" w:hint="default"/>
    </w:rPr>
  </w:style>
  <w:style w:type="character" w:customStyle="1" w:styleId="ListLabel449">
    <w:name w:val="ListLabel 449"/>
    <w:rsid w:val="00ED7F17"/>
    <w:rPr>
      <w:rFonts w:ascii="Wingdings" w:hAnsi="Wingdings" w:cs="Wingdings" w:hint="default"/>
    </w:rPr>
  </w:style>
  <w:style w:type="character" w:customStyle="1" w:styleId="ListLabel450">
    <w:name w:val="ListLabel 450"/>
    <w:rsid w:val="00ED7F17"/>
    <w:rPr>
      <w:rFonts w:ascii="Symbol" w:hAnsi="Symbol" w:cs="Symbol" w:hint="default"/>
    </w:rPr>
  </w:style>
  <w:style w:type="character" w:customStyle="1" w:styleId="ListLabel451">
    <w:name w:val="ListLabel 451"/>
    <w:rsid w:val="00ED7F17"/>
    <w:rPr>
      <w:rFonts w:ascii="Courier New" w:hAnsi="Courier New" w:cs="Courier New" w:hint="default"/>
    </w:rPr>
  </w:style>
  <w:style w:type="character" w:customStyle="1" w:styleId="ListLabel452">
    <w:name w:val="ListLabel 452"/>
    <w:rsid w:val="00ED7F17"/>
    <w:rPr>
      <w:rFonts w:ascii="Wingdings" w:hAnsi="Wingdings" w:cs="Wingdings" w:hint="default"/>
    </w:rPr>
  </w:style>
  <w:style w:type="character" w:customStyle="1" w:styleId="ListLabel453">
    <w:name w:val="ListLabel 453"/>
    <w:rsid w:val="00ED7F17"/>
    <w:rPr>
      <w:rFonts w:ascii="Times New Roman" w:hAnsi="Times New Roman" w:cs="Symbol" w:hint="default"/>
      <w:sz w:val="24"/>
    </w:rPr>
  </w:style>
  <w:style w:type="character" w:customStyle="1" w:styleId="ListLabel454">
    <w:name w:val="ListLabel 454"/>
    <w:rsid w:val="00ED7F17"/>
    <w:rPr>
      <w:rFonts w:ascii="Courier New" w:hAnsi="Courier New" w:cs="Courier New" w:hint="default"/>
    </w:rPr>
  </w:style>
  <w:style w:type="character" w:customStyle="1" w:styleId="ListLabel455">
    <w:name w:val="ListLabel 455"/>
    <w:rsid w:val="00ED7F17"/>
    <w:rPr>
      <w:rFonts w:ascii="Wingdings" w:hAnsi="Wingdings" w:cs="Wingdings" w:hint="default"/>
    </w:rPr>
  </w:style>
  <w:style w:type="character" w:customStyle="1" w:styleId="ListLabel456">
    <w:name w:val="ListLabel 456"/>
    <w:rsid w:val="00ED7F17"/>
    <w:rPr>
      <w:rFonts w:ascii="Symbol" w:hAnsi="Symbol" w:cs="Symbol" w:hint="default"/>
    </w:rPr>
  </w:style>
  <w:style w:type="character" w:customStyle="1" w:styleId="ListLabel457">
    <w:name w:val="ListLabel 457"/>
    <w:rsid w:val="00ED7F17"/>
    <w:rPr>
      <w:rFonts w:ascii="Courier New" w:hAnsi="Courier New" w:cs="Courier New" w:hint="default"/>
    </w:rPr>
  </w:style>
  <w:style w:type="character" w:customStyle="1" w:styleId="ListLabel458">
    <w:name w:val="ListLabel 458"/>
    <w:rsid w:val="00ED7F17"/>
    <w:rPr>
      <w:rFonts w:ascii="Wingdings" w:hAnsi="Wingdings" w:cs="Wingdings" w:hint="default"/>
    </w:rPr>
  </w:style>
  <w:style w:type="character" w:customStyle="1" w:styleId="ListLabel459">
    <w:name w:val="ListLabel 459"/>
    <w:rsid w:val="00ED7F17"/>
    <w:rPr>
      <w:rFonts w:ascii="Symbol" w:hAnsi="Symbol" w:cs="Symbol" w:hint="default"/>
    </w:rPr>
  </w:style>
  <w:style w:type="character" w:customStyle="1" w:styleId="ListLabel460">
    <w:name w:val="ListLabel 460"/>
    <w:rsid w:val="00ED7F17"/>
    <w:rPr>
      <w:rFonts w:ascii="Courier New" w:hAnsi="Courier New" w:cs="Courier New" w:hint="default"/>
    </w:rPr>
  </w:style>
  <w:style w:type="character" w:customStyle="1" w:styleId="ListLabel461">
    <w:name w:val="ListLabel 461"/>
    <w:rsid w:val="00ED7F17"/>
    <w:rPr>
      <w:rFonts w:ascii="Wingdings" w:hAnsi="Wingdings" w:cs="Wingdings" w:hint="default"/>
    </w:rPr>
  </w:style>
  <w:style w:type="character" w:customStyle="1" w:styleId="WW8NumSt10z0">
    <w:name w:val="WW8NumSt10z0"/>
    <w:rsid w:val="00ED7F17"/>
    <w:rPr>
      <w:rFonts w:ascii="Times New Roman" w:hAnsi="Times New Roman" w:cs="Times New Roman" w:hint="default"/>
      <w:sz w:val="28"/>
      <w:szCs w:val="28"/>
    </w:rPr>
  </w:style>
  <w:style w:type="character" w:customStyle="1" w:styleId="WW-1">
    <w:name w:val="WW-Основной шрифт абзаца1"/>
    <w:rsid w:val="00ED7F17"/>
  </w:style>
  <w:style w:type="character" w:customStyle="1" w:styleId="affd">
    <w:name w:val="Гипертекстовая ссылка"/>
    <w:rsid w:val="00ED7F17"/>
    <w:rPr>
      <w:color w:val="008000"/>
    </w:rPr>
  </w:style>
  <w:style w:type="character" w:customStyle="1" w:styleId="affe">
    <w:name w:val="Знак Знак"/>
    <w:rsid w:val="00ED7F17"/>
    <w:rPr>
      <w:rFonts w:ascii="Calibri" w:eastAsia="Calibri" w:hAnsi="Calibri" w:cs="Calibri" w:hint="default"/>
      <w:sz w:val="16"/>
      <w:szCs w:val="16"/>
      <w:lang w:val="ru-RU" w:bidi="ar-SA"/>
    </w:rPr>
  </w:style>
  <w:style w:type="character" w:customStyle="1" w:styleId="63">
    <w:name w:val="Основной текст (6)"/>
    <w:rsid w:val="00ED7F17"/>
    <w:rPr>
      <w:rFonts w:ascii="Verdana" w:hAnsi="Verdana" w:cs="Verdana" w:hint="default"/>
      <w:sz w:val="20"/>
      <w:szCs w:val="20"/>
      <w:highlight w:val="white"/>
    </w:rPr>
  </w:style>
  <w:style w:type="character" w:customStyle="1" w:styleId="FontStyle13">
    <w:name w:val="Font Style13"/>
    <w:rsid w:val="00ED7F17"/>
    <w:rPr>
      <w:rFonts w:ascii="Times New Roman" w:hAnsi="Times New Roman" w:cs="Times New Roman" w:hint="default"/>
      <w:sz w:val="24"/>
      <w:szCs w:val="24"/>
    </w:rPr>
  </w:style>
  <w:style w:type="character" w:customStyle="1" w:styleId="ListLabel462">
    <w:name w:val="ListLabel 462"/>
    <w:rsid w:val="00ED7F17"/>
    <w:rPr>
      <w:rFonts w:ascii="Liberation Serif" w:hAnsi="Liberation Serif" w:cs="Liberation Serif" w:hint="default"/>
    </w:rPr>
  </w:style>
  <w:style w:type="character" w:customStyle="1" w:styleId="ListLabel463">
    <w:name w:val="ListLabel 463"/>
    <w:rsid w:val="00ED7F17"/>
    <w:rPr>
      <w:rFonts w:ascii="Times New Roman" w:hAnsi="Times New Roman" w:cs="Times New Roman" w:hint="default"/>
      <w:sz w:val="28"/>
      <w:szCs w:val="28"/>
    </w:rPr>
  </w:style>
  <w:style w:type="character" w:customStyle="1" w:styleId="ListLabel464">
    <w:name w:val="ListLabel 464"/>
    <w:rsid w:val="00ED7F17"/>
    <w:rPr>
      <w:rFonts w:ascii="Times New Roman" w:eastAsia="Times New Roman" w:hAnsi="Times New Roman" w:cs="Times New Roman" w:hint="default"/>
      <w:b/>
      <w:bCs/>
      <w:i w:val="0"/>
      <w:iCs w:val="0"/>
      <w:caps w:val="0"/>
      <w:smallCaps w:val="0"/>
      <w:strike w:val="0"/>
      <w:dstrike w:val="0"/>
      <w:color w:val="000000"/>
      <w:spacing w:val="0"/>
      <w:w w:val="100"/>
      <w:sz w:val="28"/>
      <w:szCs w:val="28"/>
      <w:highlight w:val="white"/>
      <w:u w:val="none"/>
      <w:effect w:val="none"/>
      <w:lang w:val="ru-RU" w:bidi="ru-RU"/>
    </w:rPr>
  </w:style>
  <w:style w:type="character" w:customStyle="1" w:styleId="ListLabel465">
    <w:name w:val="ListLabel 465"/>
    <w:rsid w:val="00ED7F17"/>
    <w:rPr>
      <w:rFonts w:ascii="Times New Roman" w:eastAsia="Times New Roman" w:hAnsi="Times New Roman" w:cs="Times New Roman" w:hint="default"/>
      <w:b/>
      <w:bCs/>
      <w:i/>
      <w:iCs/>
      <w:caps w:val="0"/>
      <w:smallCaps w:val="0"/>
      <w:strike w:val="0"/>
      <w:dstrike w:val="0"/>
      <w:color w:val="000000"/>
      <w:spacing w:val="0"/>
      <w:w w:val="100"/>
      <w:sz w:val="28"/>
      <w:szCs w:val="28"/>
      <w:highlight w:val="white"/>
      <w:u w:val="none"/>
      <w:effect w:val="none"/>
      <w:lang w:val="ru-RU" w:bidi="ru-RU"/>
    </w:rPr>
  </w:style>
  <w:style w:type="character" w:customStyle="1" w:styleId="ListLabel466">
    <w:name w:val="ListLabel 466"/>
    <w:rsid w:val="00ED7F17"/>
    <w:rPr>
      <w:rFonts w:ascii="Symbol" w:hAnsi="Symbol" w:cs="Symbol" w:hint="default"/>
      <w:b/>
      <w:bCs w:val="0"/>
      <w:sz w:val="24"/>
    </w:rPr>
  </w:style>
  <w:style w:type="character" w:customStyle="1" w:styleId="ListLabel467">
    <w:name w:val="ListLabel 467"/>
    <w:rsid w:val="00ED7F17"/>
    <w:rPr>
      <w:rFonts w:ascii="Times New Roman" w:hAnsi="Times New Roman" w:cs="Times New Roman" w:hint="default"/>
    </w:rPr>
  </w:style>
  <w:style w:type="character" w:customStyle="1" w:styleId="ListLabel468">
    <w:name w:val="ListLabel 468"/>
    <w:rsid w:val="00ED7F17"/>
    <w:rPr>
      <w:rFonts w:ascii="Wingdings" w:hAnsi="Wingdings" w:cs="Wingdings" w:hint="default"/>
    </w:rPr>
  </w:style>
  <w:style w:type="character" w:customStyle="1" w:styleId="ListLabel469">
    <w:name w:val="ListLabel 469"/>
    <w:rsid w:val="00ED7F17"/>
    <w:rPr>
      <w:rFonts w:ascii="Symbol" w:hAnsi="Symbol" w:cs="Symbol" w:hint="default"/>
    </w:rPr>
  </w:style>
  <w:style w:type="character" w:customStyle="1" w:styleId="ListLabel470">
    <w:name w:val="ListLabel 470"/>
    <w:rsid w:val="00ED7F17"/>
    <w:rPr>
      <w:rFonts w:ascii="Courier New" w:hAnsi="Courier New" w:cs="Courier New" w:hint="default"/>
    </w:rPr>
  </w:style>
  <w:style w:type="character" w:customStyle="1" w:styleId="ListLabel471">
    <w:name w:val="ListLabel 471"/>
    <w:rsid w:val="00ED7F17"/>
    <w:rPr>
      <w:rFonts w:ascii="Wingdings" w:hAnsi="Wingdings" w:cs="Wingdings" w:hint="default"/>
    </w:rPr>
  </w:style>
  <w:style w:type="character" w:customStyle="1" w:styleId="ListLabel472">
    <w:name w:val="ListLabel 472"/>
    <w:rsid w:val="00ED7F17"/>
    <w:rPr>
      <w:rFonts w:ascii="Symbol" w:hAnsi="Symbol" w:cs="Symbol" w:hint="default"/>
    </w:rPr>
  </w:style>
  <w:style w:type="character" w:customStyle="1" w:styleId="ListLabel473">
    <w:name w:val="ListLabel 473"/>
    <w:rsid w:val="00ED7F17"/>
    <w:rPr>
      <w:rFonts w:ascii="Courier New" w:hAnsi="Courier New" w:cs="Courier New" w:hint="default"/>
    </w:rPr>
  </w:style>
  <w:style w:type="character" w:customStyle="1" w:styleId="ListLabel474">
    <w:name w:val="ListLabel 474"/>
    <w:rsid w:val="00ED7F17"/>
    <w:rPr>
      <w:rFonts w:ascii="Wingdings" w:hAnsi="Wingdings" w:cs="Wingdings" w:hint="default"/>
    </w:rPr>
  </w:style>
  <w:style w:type="character" w:customStyle="1" w:styleId="ListLabel475">
    <w:name w:val="ListLabel 475"/>
    <w:rsid w:val="00ED7F17"/>
    <w:rPr>
      <w:rFonts w:ascii="Symbol" w:hAnsi="Symbol" w:cs="Symbol" w:hint="default"/>
      <w:sz w:val="24"/>
    </w:rPr>
  </w:style>
  <w:style w:type="character" w:customStyle="1" w:styleId="ListLabel476">
    <w:name w:val="ListLabel 476"/>
    <w:rsid w:val="00ED7F17"/>
    <w:rPr>
      <w:rFonts w:ascii="Courier New" w:hAnsi="Courier New" w:cs="Courier New" w:hint="default"/>
    </w:rPr>
  </w:style>
  <w:style w:type="character" w:customStyle="1" w:styleId="ListLabel477">
    <w:name w:val="ListLabel 477"/>
    <w:rsid w:val="00ED7F17"/>
    <w:rPr>
      <w:rFonts w:ascii="Wingdings" w:hAnsi="Wingdings" w:cs="Wingdings" w:hint="default"/>
    </w:rPr>
  </w:style>
  <w:style w:type="character" w:customStyle="1" w:styleId="ListLabel478">
    <w:name w:val="ListLabel 478"/>
    <w:rsid w:val="00ED7F17"/>
    <w:rPr>
      <w:rFonts w:ascii="Symbol" w:hAnsi="Symbol" w:cs="Symbol" w:hint="default"/>
    </w:rPr>
  </w:style>
  <w:style w:type="character" w:customStyle="1" w:styleId="ListLabel479">
    <w:name w:val="ListLabel 479"/>
    <w:rsid w:val="00ED7F17"/>
    <w:rPr>
      <w:rFonts w:ascii="Courier New" w:hAnsi="Courier New" w:cs="Courier New" w:hint="default"/>
    </w:rPr>
  </w:style>
  <w:style w:type="character" w:customStyle="1" w:styleId="ListLabel480">
    <w:name w:val="ListLabel 480"/>
    <w:rsid w:val="00ED7F17"/>
    <w:rPr>
      <w:rFonts w:ascii="Wingdings" w:hAnsi="Wingdings" w:cs="Wingdings" w:hint="default"/>
    </w:rPr>
  </w:style>
  <w:style w:type="character" w:customStyle="1" w:styleId="ListLabel481">
    <w:name w:val="ListLabel 481"/>
    <w:rsid w:val="00ED7F17"/>
    <w:rPr>
      <w:rFonts w:ascii="Symbol" w:hAnsi="Symbol" w:cs="Symbol" w:hint="default"/>
    </w:rPr>
  </w:style>
  <w:style w:type="character" w:customStyle="1" w:styleId="ListLabel482">
    <w:name w:val="ListLabel 482"/>
    <w:rsid w:val="00ED7F17"/>
    <w:rPr>
      <w:rFonts w:ascii="Courier New" w:hAnsi="Courier New" w:cs="Courier New" w:hint="default"/>
    </w:rPr>
  </w:style>
  <w:style w:type="character" w:customStyle="1" w:styleId="ListLabel483">
    <w:name w:val="ListLabel 483"/>
    <w:rsid w:val="00ED7F17"/>
    <w:rPr>
      <w:rFonts w:ascii="Wingdings" w:hAnsi="Wingdings" w:cs="Wingdings" w:hint="default"/>
    </w:rPr>
  </w:style>
  <w:style w:type="character" w:customStyle="1" w:styleId="ListLabel484">
    <w:name w:val="ListLabel 484"/>
    <w:rsid w:val="00ED7F17"/>
    <w:rPr>
      <w:rFonts w:ascii="Symbol" w:hAnsi="Symbol" w:cs="Symbol" w:hint="default"/>
    </w:rPr>
  </w:style>
  <w:style w:type="character" w:customStyle="1" w:styleId="ListLabel485">
    <w:name w:val="ListLabel 485"/>
    <w:rsid w:val="00ED7F17"/>
    <w:rPr>
      <w:rFonts w:ascii="Courier New" w:hAnsi="Courier New" w:cs="Courier New" w:hint="default"/>
    </w:rPr>
  </w:style>
  <w:style w:type="character" w:customStyle="1" w:styleId="ListLabel486">
    <w:name w:val="ListLabel 486"/>
    <w:rsid w:val="00ED7F17"/>
    <w:rPr>
      <w:rFonts w:ascii="Wingdings" w:hAnsi="Wingdings" w:cs="Wingdings" w:hint="default"/>
    </w:rPr>
  </w:style>
  <w:style w:type="character" w:customStyle="1" w:styleId="ListLabel487">
    <w:name w:val="ListLabel 487"/>
    <w:rsid w:val="00ED7F17"/>
    <w:rPr>
      <w:rFonts w:ascii="Symbol" w:hAnsi="Symbol" w:cs="Symbol" w:hint="default"/>
    </w:rPr>
  </w:style>
  <w:style w:type="character" w:customStyle="1" w:styleId="ListLabel488">
    <w:name w:val="ListLabel 488"/>
    <w:rsid w:val="00ED7F17"/>
    <w:rPr>
      <w:rFonts w:ascii="Courier New" w:hAnsi="Courier New" w:cs="Courier New" w:hint="default"/>
    </w:rPr>
  </w:style>
  <w:style w:type="character" w:customStyle="1" w:styleId="ListLabel489">
    <w:name w:val="ListLabel 489"/>
    <w:rsid w:val="00ED7F17"/>
    <w:rPr>
      <w:rFonts w:ascii="Wingdings" w:hAnsi="Wingdings" w:cs="Wingdings" w:hint="default"/>
    </w:rPr>
  </w:style>
  <w:style w:type="character" w:customStyle="1" w:styleId="ListLabel490">
    <w:name w:val="ListLabel 490"/>
    <w:rsid w:val="00ED7F17"/>
    <w:rPr>
      <w:rFonts w:ascii="Symbol" w:hAnsi="Symbol" w:cs="Symbol" w:hint="default"/>
    </w:rPr>
  </w:style>
  <w:style w:type="character" w:customStyle="1" w:styleId="ListLabel491">
    <w:name w:val="ListLabel 491"/>
    <w:rsid w:val="00ED7F17"/>
    <w:rPr>
      <w:rFonts w:ascii="Courier New" w:hAnsi="Courier New" w:cs="Courier New" w:hint="default"/>
    </w:rPr>
  </w:style>
  <w:style w:type="character" w:customStyle="1" w:styleId="ListLabel492">
    <w:name w:val="ListLabel 492"/>
    <w:rsid w:val="00ED7F17"/>
    <w:rPr>
      <w:rFonts w:ascii="Wingdings" w:hAnsi="Wingdings" w:cs="Wingdings" w:hint="default"/>
    </w:rPr>
  </w:style>
  <w:style w:type="character" w:customStyle="1" w:styleId="ListLabel493">
    <w:name w:val="ListLabel 493"/>
    <w:rsid w:val="00ED7F17"/>
    <w:rPr>
      <w:rFonts w:ascii="Liberation Serif" w:hAnsi="Liberation Serif" w:cs="Liberation Serif" w:hint="default"/>
    </w:rPr>
  </w:style>
  <w:style w:type="character" w:customStyle="1" w:styleId="ListLabel494">
    <w:name w:val="ListLabel 494"/>
    <w:rsid w:val="00ED7F17"/>
    <w:rPr>
      <w:rFonts w:ascii="Times New Roman" w:hAnsi="Times New Roman" w:cs="Times New Roman" w:hint="default"/>
      <w:sz w:val="28"/>
      <w:szCs w:val="28"/>
    </w:rPr>
  </w:style>
  <w:style w:type="character" w:customStyle="1" w:styleId="ListLabel495">
    <w:name w:val="ListLabel 495"/>
    <w:rsid w:val="00ED7F17"/>
    <w:rPr>
      <w:rFonts w:ascii="Times New Roman" w:eastAsia="Times New Roman" w:hAnsi="Times New Roman" w:cs="Times New Roman" w:hint="default"/>
      <w:b/>
      <w:bCs/>
      <w:i w:val="0"/>
      <w:iCs w:val="0"/>
      <w:caps w:val="0"/>
      <w:smallCaps w:val="0"/>
      <w:strike w:val="0"/>
      <w:dstrike w:val="0"/>
      <w:color w:val="000000"/>
      <w:spacing w:val="0"/>
      <w:w w:val="100"/>
      <w:sz w:val="28"/>
      <w:szCs w:val="28"/>
      <w:highlight w:val="white"/>
      <w:u w:val="none"/>
      <w:effect w:val="none"/>
      <w:lang w:val="ru-RU" w:bidi="ru-RU"/>
    </w:rPr>
  </w:style>
  <w:style w:type="character" w:customStyle="1" w:styleId="ListLabel496">
    <w:name w:val="ListLabel 496"/>
    <w:rsid w:val="00ED7F17"/>
    <w:rPr>
      <w:rFonts w:ascii="Times New Roman" w:eastAsia="Times New Roman" w:hAnsi="Times New Roman" w:cs="Times New Roman" w:hint="default"/>
      <w:b/>
      <w:bCs/>
      <w:i/>
      <w:iCs/>
      <w:caps w:val="0"/>
      <w:smallCaps w:val="0"/>
      <w:strike w:val="0"/>
      <w:dstrike w:val="0"/>
      <w:color w:val="000000"/>
      <w:spacing w:val="0"/>
      <w:w w:val="100"/>
      <w:sz w:val="28"/>
      <w:szCs w:val="28"/>
      <w:highlight w:val="white"/>
      <w:u w:val="none"/>
      <w:effect w:val="none"/>
      <w:lang w:val="ru-RU" w:bidi="ru-RU"/>
    </w:rPr>
  </w:style>
  <w:style w:type="character" w:customStyle="1" w:styleId="ListLabel497">
    <w:name w:val="ListLabel 497"/>
    <w:rsid w:val="00ED7F17"/>
    <w:rPr>
      <w:rFonts w:ascii="Symbol" w:hAnsi="Symbol" w:cs="Symbol" w:hint="default"/>
      <w:b/>
      <w:bCs w:val="0"/>
      <w:sz w:val="24"/>
    </w:rPr>
  </w:style>
  <w:style w:type="character" w:customStyle="1" w:styleId="ListLabel498">
    <w:name w:val="ListLabel 498"/>
    <w:rsid w:val="00ED7F17"/>
    <w:rPr>
      <w:rFonts w:ascii="Times New Roman" w:hAnsi="Times New Roman" w:cs="Times New Roman" w:hint="default"/>
    </w:rPr>
  </w:style>
  <w:style w:type="character" w:customStyle="1" w:styleId="ListLabel499">
    <w:name w:val="ListLabel 499"/>
    <w:rsid w:val="00ED7F17"/>
    <w:rPr>
      <w:rFonts w:ascii="Wingdings" w:hAnsi="Wingdings" w:cs="Wingdings" w:hint="default"/>
    </w:rPr>
  </w:style>
  <w:style w:type="character" w:customStyle="1" w:styleId="ListLabel500">
    <w:name w:val="ListLabel 500"/>
    <w:rsid w:val="00ED7F17"/>
    <w:rPr>
      <w:rFonts w:ascii="Symbol" w:hAnsi="Symbol" w:cs="Symbol" w:hint="default"/>
    </w:rPr>
  </w:style>
  <w:style w:type="character" w:customStyle="1" w:styleId="ListLabel501">
    <w:name w:val="ListLabel 501"/>
    <w:rsid w:val="00ED7F17"/>
    <w:rPr>
      <w:rFonts w:ascii="Courier New" w:hAnsi="Courier New" w:cs="Courier New" w:hint="default"/>
    </w:rPr>
  </w:style>
  <w:style w:type="character" w:customStyle="1" w:styleId="ListLabel502">
    <w:name w:val="ListLabel 502"/>
    <w:rsid w:val="00ED7F17"/>
    <w:rPr>
      <w:rFonts w:ascii="Wingdings" w:hAnsi="Wingdings" w:cs="Wingdings" w:hint="default"/>
    </w:rPr>
  </w:style>
  <w:style w:type="character" w:customStyle="1" w:styleId="ListLabel503">
    <w:name w:val="ListLabel 503"/>
    <w:rsid w:val="00ED7F17"/>
    <w:rPr>
      <w:rFonts w:ascii="Symbol" w:hAnsi="Symbol" w:cs="Symbol" w:hint="default"/>
    </w:rPr>
  </w:style>
  <w:style w:type="character" w:customStyle="1" w:styleId="ListLabel504">
    <w:name w:val="ListLabel 504"/>
    <w:rsid w:val="00ED7F17"/>
    <w:rPr>
      <w:rFonts w:ascii="Courier New" w:hAnsi="Courier New" w:cs="Courier New" w:hint="default"/>
    </w:rPr>
  </w:style>
  <w:style w:type="character" w:customStyle="1" w:styleId="ListLabel505">
    <w:name w:val="ListLabel 505"/>
    <w:rsid w:val="00ED7F17"/>
    <w:rPr>
      <w:rFonts w:ascii="Wingdings" w:hAnsi="Wingdings" w:cs="Wingdings" w:hint="default"/>
    </w:rPr>
  </w:style>
  <w:style w:type="character" w:customStyle="1" w:styleId="ListLabel506">
    <w:name w:val="ListLabel 506"/>
    <w:rsid w:val="00ED7F17"/>
    <w:rPr>
      <w:rFonts w:ascii="Symbol" w:hAnsi="Symbol" w:cs="Symbol" w:hint="default"/>
      <w:sz w:val="24"/>
    </w:rPr>
  </w:style>
  <w:style w:type="character" w:customStyle="1" w:styleId="ListLabel507">
    <w:name w:val="ListLabel 507"/>
    <w:rsid w:val="00ED7F17"/>
    <w:rPr>
      <w:rFonts w:ascii="Courier New" w:hAnsi="Courier New" w:cs="Courier New" w:hint="default"/>
    </w:rPr>
  </w:style>
  <w:style w:type="character" w:customStyle="1" w:styleId="ListLabel508">
    <w:name w:val="ListLabel 508"/>
    <w:rsid w:val="00ED7F17"/>
    <w:rPr>
      <w:rFonts w:ascii="Wingdings" w:hAnsi="Wingdings" w:cs="Wingdings" w:hint="default"/>
    </w:rPr>
  </w:style>
  <w:style w:type="character" w:customStyle="1" w:styleId="ListLabel509">
    <w:name w:val="ListLabel 509"/>
    <w:rsid w:val="00ED7F17"/>
    <w:rPr>
      <w:rFonts w:ascii="Symbol" w:hAnsi="Symbol" w:cs="Symbol" w:hint="default"/>
    </w:rPr>
  </w:style>
  <w:style w:type="character" w:customStyle="1" w:styleId="ListLabel510">
    <w:name w:val="ListLabel 510"/>
    <w:rsid w:val="00ED7F17"/>
    <w:rPr>
      <w:rFonts w:ascii="Courier New" w:hAnsi="Courier New" w:cs="Courier New" w:hint="default"/>
    </w:rPr>
  </w:style>
  <w:style w:type="character" w:customStyle="1" w:styleId="ListLabel511">
    <w:name w:val="ListLabel 511"/>
    <w:rsid w:val="00ED7F17"/>
    <w:rPr>
      <w:rFonts w:ascii="Wingdings" w:hAnsi="Wingdings" w:cs="Wingdings" w:hint="default"/>
    </w:rPr>
  </w:style>
  <w:style w:type="character" w:customStyle="1" w:styleId="ListLabel512">
    <w:name w:val="ListLabel 512"/>
    <w:rsid w:val="00ED7F17"/>
    <w:rPr>
      <w:rFonts w:ascii="Symbol" w:hAnsi="Symbol" w:cs="Symbol" w:hint="default"/>
    </w:rPr>
  </w:style>
  <w:style w:type="character" w:customStyle="1" w:styleId="ListLabel513">
    <w:name w:val="ListLabel 513"/>
    <w:rsid w:val="00ED7F17"/>
    <w:rPr>
      <w:rFonts w:ascii="Courier New" w:hAnsi="Courier New" w:cs="Courier New" w:hint="default"/>
    </w:rPr>
  </w:style>
  <w:style w:type="character" w:customStyle="1" w:styleId="ListLabel514">
    <w:name w:val="ListLabel 514"/>
    <w:rsid w:val="00ED7F17"/>
    <w:rPr>
      <w:rFonts w:ascii="Wingdings" w:hAnsi="Wingdings" w:cs="Wingdings" w:hint="default"/>
    </w:rPr>
  </w:style>
  <w:style w:type="character" w:customStyle="1" w:styleId="ListLabel515">
    <w:name w:val="ListLabel 515"/>
    <w:rsid w:val="00ED7F17"/>
    <w:rPr>
      <w:rFonts w:ascii="Symbol" w:hAnsi="Symbol" w:cs="Symbol" w:hint="default"/>
    </w:rPr>
  </w:style>
  <w:style w:type="character" w:customStyle="1" w:styleId="ListLabel516">
    <w:name w:val="ListLabel 516"/>
    <w:rsid w:val="00ED7F17"/>
    <w:rPr>
      <w:rFonts w:ascii="Courier New" w:hAnsi="Courier New" w:cs="Courier New" w:hint="default"/>
    </w:rPr>
  </w:style>
  <w:style w:type="character" w:customStyle="1" w:styleId="ListLabel517">
    <w:name w:val="ListLabel 517"/>
    <w:rsid w:val="00ED7F17"/>
    <w:rPr>
      <w:rFonts w:ascii="Wingdings" w:hAnsi="Wingdings" w:cs="Wingdings" w:hint="default"/>
    </w:rPr>
  </w:style>
  <w:style w:type="character" w:customStyle="1" w:styleId="ListLabel518">
    <w:name w:val="ListLabel 518"/>
    <w:rsid w:val="00ED7F17"/>
    <w:rPr>
      <w:rFonts w:ascii="Symbol" w:hAnsi="Symbol" w:cs="Symbol" w:hint="default"/>
    </w:rPr>
  </w:style>
  <w:style w:type="character" w:customStyle="1" w:styleId="ListLabel519">
    <w:name w:val="ListLabel 519"/>
    <w:rsid w:val="00ED7F17"/>
    <w:rPr>
      <w:rFonts w:ascii="Courier New" w:hAnsi="Courier New" w:cs="Courier New" w:hint="default"/>
    </w:rPr>
  </w:style>
  <w:style w:type="character" w:customStyle="1" w:styleId="ListLabel520">
    <w:name w:val="ListLabel 520"/>
    <w:rsid w:val="00ED7F17"/>
    <w:rPr>
      <w:rFonts w:ascii="Wingdings" w:hAnsi="Wingdings" w:cs="Wingdings" w:hint="default"/>
    </w:rPr>
  </w:style>
  <w:style w:type="character" w:customStyle="1" w:styleId="ListLabel521">
    <w:name w:val="ListLabel 521"/>
    <w:rsid w:val="00ED7F17"/>
    <w:rPr>
      <w:rFonts w:ascii="Symbol" w:hAnsi="Symbol" w:cs="Symbol" w:hint="default"/>
    </w:rPr>
  </w:style>
  <w:style w:type="character" w:customStyle="1" w:styleId="ListLabel522">
    <w:name w:val="ListLabel 522"/>
    <w:rsid w:val="00ED7F17"/>
    <w:rPr>
      <w:rFonts w:ascii="Courier New" w:hAnsi="Courier New" w:cs="Courier New" w:hint="default"/>
    </w:rPr>
  </w:style>
  <w:style w:type="character" w:customStyle="1" w:styleId="ListLabel523">
    <w:name w:val="ListLabel 523"/>
    <w:rsid w:val="00ED7F17"/>
    <w:rPr>
      <w:rFonts w:ascii="Wingdings" w:hAnsi="Wingdings" w:cs="Wingdings" w:hint="default"/>
    </w:rPr>
  </w:style>
  <w:style w:type="character" w:customStyle="1" w:styleId="1f4">
    <w:name w:val="Основной текст Знак1"/>
    <w:rsid w:val="00ED7F17"/>
    <w:rPr>
      <w:rFonts w:ascii="Arial" w:eastAsia="Arial" w:hAnsi="Arial" w:cs="Arial" w:hint="default"/>
      <w:color w:val="00000A"/>
      <w:sz w:val="22"/>
      <w:szCs w:val="22"/>
      <w:lang w:eastAsia="zh-CN"/>
    </w:rPr>
  </w:style>
  <w:style w:type="character" w:customStyle="1" w:styleId="1f5">
    <w:name w:val="Текст сноски Знак1"/>
    <w:rsid w:val="00ED7F17"/>
    <w:rPr>
      <w:rFonts w:ascii="Arial" w:eastAsia="Arial" w:hAnsi="Arial" w:cs="Arial" w:hint="default"/>
      <w:color w:val="00000A"/>
      <w:lang w:eastAsia="zh-CN"/>
    </w:rPr>
  </w:style>
  <w:style w:type="character" w:customStyle="1" w:styleId="1f6">
    <w:name w:val="Нижний колонтитул Знак1"/>
    <w:uiPriority w:val="99"/>
    <w:rsid w:val="00ED7F17"/>
    <w:rPr>
      <w:rFonts w:ascii="Arial" w:eastAsia="Arial" w:hAnsi="Arial" w:cs="Arial" w:hint="default"/>
      <w:color w:val="00000A"/>
      <w:sz w:val="22"/>
      <w:szCs w:val="22"/>
      <w:lang w:eastAsia="zh-CN"/>
    </w:rPr>
  </w:style>
  <w:style w:type="character" w:customStyle="1" w:styleId="1f7">
    <w:name w:val="Текст выноски Знак1"/>
    <w:rsid w:val="00ED7F17"/>
    <w:rPr>
      <w:rFonts w:ascii="Tahoma" w:eastAsia="Arial" w:hAnsi="Tahoma" w:cs="Tahoma" w:hint="default"/>
      <w:color w:val="00000A"/>
      <w:sz w:val="16"/>
      <w:szCs w:val="16"/>
      <w:lang w:eastAsia="zh-CN"/>
    </w:rPr>
  </w:style>
  <w:style w:type="character" w:customStyle="1" w:styleId="1f8">
    <w:name w:val="Текст примечания Знак1"/>
    <w:rsid w:val="00ED7F17"/>
    <w:rPr>
      <w:rFonts w:ascii="Calibri" w:eastAsia="Calibri" w:hAnsi="Calibri" w:hint="default"/>
    </w:rPr>
  </w:style>
  <w:style w:type="character" w:customStyle="1" w:styleId="1f9">
    <w:name w:val="Тема примечания Знак1"/>
    <w:rsid w:val="00ED7F17"/>
    <w:rPr>
      <w:rFonts w:ascii="Arial" w:eastAsia="Arial" w:hAnsi="Arial" w:cs="Arial" w:hint="default"/>
      <w:b/>
      <w:bCs/>
      <w:color w:val="00000A"/>
      <w:lang w:eastAsia="zh-CN"/>
    </w:rPr>
  </w:style>
  <w:style w:type="character" w:customStyle="1" w:styleId="1fa">
    <w:name w:val="Основной текст с отступом Знак1"/>
    <w:rsid w:val="00ED7F17"/>
    <w:rPr>
      <w:rFonts w:ascii="Calibri" w:eastAsia="Calibri" w:hAnsi="Calibri" w:cs="Calibri" w:hint="default"/>
      <w:color w:val="00000A"/>
      <w:sz w:val="22"/>
      <w:szCs w:val="22"/>
      <w:lang w:eastAsia="zh-CN"/>
    </w:rPr>
  </w:style>
  <w:style w:type="character" w:customStyle="1" w:styleId="1fb">
    <w:name w:val="Верхний колонтитул Знак1"/>
    <w:uiPriority w:val="99"/>
    <w:rsid w:val="00ED7F17"/>
    <w:rPr>
      <w:rFonts w:ascii="Arial" w:eastAsia="Arial" w:hAnsi="Arial" w:cs="Arial" w:hint="default"/>
      <w:color w:val="00000A"/>
      <w:sz w:val="22"/>
      <w:szCs w:val="22"/>
      <w:lang w:eastAsia="zh-CN"/>
    </w:rPr>
  </w:style>
  <w:style w:type="character" w:customStyle="1" w:styleId="21">
    <w:name w:val="Основной текст Знак2"/>
    <w:basedOn w:val="a1"/>
    <w:link w:val="a0"/>
    <w:locked/>
    <w:rsid w:val="00ED7F17"/>
    <w:rPr>
      <w:rFonts w:ascii="Times New Roman" w:eastAsia="Times New Roman" w:hAnsi="Times New Roman" w:cs="Times New Roman"/>
      <w:color w:val="00000A"/>
      <w:sz w:val="24"/>
      <w:szCs w:val="24"/>
      <w:lang w:eastAsia="zh-CN"/>
    </w:rPr>
  </w:style>
  <w:style w:type="character" w:customStyle="1" w:styleId="13">
    <w:name w:val="Подзаголовок Знак1"/>
    <w:basedOn w:val="a1"/>
    <w:link w:val="af8"/>
    <w:locked/>
    <w:rsid w:val="00ED7F17"/>
    <w:rPr>
      <w:rFonts w:ascii="Arial" w:eastAsia="Arial" w:hAnsi="Arial" w:cs="Arial"/>
      <w:color w:val="666666"/>
      <w:sz w:val="30"/>
      <w:szCs w:val="30"/>
      <w:lang w:eastAsia="zh-CN"/>
    </w:rPr>
  </w:style>
  <w:style w:type="character" w:customStyle="1" w:styleId="25">
    <w:name w:val="Текст сноски Знак2"/>
    <w:basedOn w:val="a1"/>
    <w:link w:val="af0"/>
    <w:semiHidden/>
    <w:locked/>
    <w:rsid w:val="00ED7F17"/>
    <w:rPr>
      <w:rFonts w:ascii="Arial" w:eastAsia="Arial" w:hAnsi="Arial" w:cs="Arial"/>
      <w:color w:val="00000A"/>
      <w:szCs w:val="20"/>
      <w:lang w:eastAsia="zh-CN"/>
    </w:rPr>
  </w:style>
  <w:style w:type="character" w:customStyle="1" w:styleId="27">
    <w:name w:val="Нижний колонтитул Знак2"/>
    <w:basedOn w:val="a1"/>
    <w:link w:val="af4"/>
    <w:semiHidden/>
    <w:locked/>
    <w:rsid w:val="00ED7F17"/>
    <w:rPr>
      <w:rFonts w:ascii="Arial" w:eastAsia="Arial" w:hAnsi="Arial" w:cs="Arial"/>
      <w:color w:val="00000A"/>
      <w:sz w:val="22"/>
      <w:lang w:eastAsia="zh-CN"/>
    </w:rPr>
  </w:style>
  <w:style w:type="character" w:customStyle="1" w:styleId="23">
    <w:name w:val="Текст выноски Знак2"/>
    <w:basedOn w:val="a1"/>
    <w:link w:val="ab"/>
    <w:locked/>
    <w:rsid w:val="00ED7F17"/>
    <w:rPr>
      <w:rFonts w:ascii="Segoe UI" w:eastAsia="Times New Roman" w:hAnsi="Segoe UI" w:cs="Segoe UI"/>
      <w:color w:val="00000A"/>
      <w:sz w:val="18"/>
      <w:szCs w:val="18"/>
      <w:lang w:eastAsia="zh-CN"/>
    </w:rPr>
  </w:style>
  <w:style w:type="character" w:customStyle="1" w:styleId="26">
    <w:name w:val="Текст примечания Знак2"/>
    <w:basedOn w:val="a1"/>
    <w:link w:val="af2"/>
    <w:uiPriority w:val="99"/>
    <w:semiHidden/>
    <w:locked/>
    <w:rsid w:val="00ED7F17"/>
    <w:rPr>
      <w:rFonts w:ascii="Arial" w:eastAsia="Arial" w:hAnsi="Arial" w:cs="Arial"/>
      <w:color w:val="00000A"/>
      <w:szCs w:val="20"/>
      <w:lang w:eastAsia="zh-CN"/>
    </w:rPr>
  </w:style>
  <w:style w:type="paragraph" w:styleId="afff">
    <w:name w:val="annotation subject"/>
    <w:basedOn w:val="af2"/>
    <w:next w:val="af2"/>
    <w:link w:val="2f3"/>
    <w:semiHidden/>
    <w:unhideWhenUsed/>
    <w:rsid w:val="00ED7F17"/>
    <w:rPr>
      <w:b/>
      <w:bCs/>
    </w:rPr>
  </w:style>
  <w:style w:type="character" w:customStyle="1" w:styleId="2f3">
    <w:name w:val="Тема примечания Знак2"/>
    <w:basedOn w:val="af3"/>
    <w:link w:val="afff"/>
    <w:semiHidden/>
    <w:rsid w:val="00ED7F17"/>
    <w:rPr>
      <w:rFonts w:ascii="Arial" w:eastAsia="Arial" w:hAnsi="Arial" w:cs="Arial"/>
      <w:b/>
      <w:bCs/>
      <w:color w:val="00000A"/>
      <w:szCs w:val="20"/>
      <w:lang w:eastAsia="zh-CN"/>
    </w:rPr>
  </w:style>
  <w:style w:type="character" w:customStyle="1" w:styleId="28">
    <w:name w:val="Основной текст с отступом Знак2"/>
    <w:basedOn w:val="a1"/>
    <w:link w:val="af6"/>
    <w:semiHidden/>
    <w:locked/>
    <w:rsid w:val="00ED7F17"/>
    <w:rPr>
      <w:rFonts w:cs="Times New Roman"/>
      <w:color w:val="00000A"/>
      <w:sz w:val="22"/>
      <w:lang w:eastAsia="zh-CN"/>
    </w:rPr>
  </w:style>
  <w:style w:type="character" w:customStyle="1" w:styleId="22">
    <w:name w:val="Верхний колонтитул Знак2"/>
    <w:basedOn w:val="a1"/>
    <w:link w:val="aa"/>
    <w:locked/>
    <w:rsid w:val="00ED7F17"/>
    <w:rPr>
      <w:rFonts w:ascii="Times New Roman" w:eastAsia="Times New Roman" w:hAnsi="Times New Roman" w:cs="Times New Roman"/>
      <w:color w:val="00000A"/>
      <w:sz w:val="21"/>
      <w:szCs w:val="20"/>
      <w:lang w:eastAsia="zh-CN"/>
    </w:rPr>
  </w:style>
  <w:style w:type="character" w:styleId="afff0">
    <w:name w:val="Strong"/>
    <w:basedOn w:val="a1"/>
    <w:qFormat/>
    <w:rsid w:val="00ED7F17"/>
    <w:rPr>
      <w:b/>
      <w:bCs/>
    </w:rPr>
  </w:style>
  <w:style w:type="character" w:customStyle="1" w:styleId="afff1">
    <w:name w:val="Название Знак"/>
    <w:basedOn w:val="a1"/>
    <w:qFormat/>
    <w:rsid w:val="00ED7F17"/>
    <w:rPr>
      <w:rFonts w:ascii="Liberation Sans" w:eastAsia="Microsoft YaHei" w:hAnsi="Liberation Sans" w:cs="Mangal"/>
      <w:sz w:val="28"/>
      <w:szCs w:val="28"/>
      <w:lang w:eastAsia="ru-RU"/>
    </w:rPr>
  </w:style>
  <w:style w:type="character" w:customStyle="1" w:styleId="extended-textshort">
    <w:name w:val="extended-text__short"/>
    <w:basedOn w:val="a1"/>
    <w:qFormat/>
    <w:rsid w:val="00ED7F17"/>
  </w:style>
  <w:style w:type="paragraph" w:styleId="afff2">
    <w:name w:val="Title"/>
    <w:basedOn w:val="a"/>
    <w:link w:val="1fc"/>
    <w:qFormat/>
    <w:rsid w:val="00ED7F17"/>
    <w:pPr>
      <w:keepNext/>
      <w:suppressAutoHyphens w:val="0"/>
      <w:overflowPunct/>
      <w:spacing w:before="240" w:after="120" w:line="276" w:lineRule="auto"/>
    </w:pPr>
    <w:rPr>
      <w:rFonts w:ascii="Liberation Sans" w:eastAsia="Microsoft YaHei" w:hAnsi="Liberation Sans" w:cs="Mangal"/>
      <w:sz w:val="28"/>
      <w:szCs w:val="28"/>
      <w:lang w:eastAsia="ru-RU"/>
    </w:rPr>
  </w:style>
  <w:style w:type="character" w:customStyle="1" w:styleId="1fc">
    <w:name w:val="Название Знак1"/>
    <w:basedOn w:val="a1"/>
    <w:link w:val="afff2"/>
    <w:rsid w:val="00ED7F17"/>
    <w:rPr>
      <w:rFonts w:ascii="Liberation Sans" w:eastAsia="Microsoft YaHei" w:hAnsi="Liberation Sans" w:cs="Mangal"/>
      <w:color w:val="00000A"/>
      <w:sz w:val="28"/>
      <w:szCs w:val="28"/>
      <w:lang w:eastAsia="ru-RU"/>
    </w:rPr>
  </w:style>
  <w:style w:type="paragraph" w:customStyle="1" w:styleId="37">
    <w:name w:val="Абзац списка3"/>
    <w:basedOn w:val="a"/>
    <w:qFormat/>
    <w:rsid w:val="00ED7F17"/>
    <w:pPr>
      <w:suppressAutoHyphens w:val="0"/>
      <w:overflowPunct/>
      <w:spacing w:after="200" w:line="276" w:lineRule="auto"/>
      <w:ind w:left="720"/>
      <w:contextualSpacing/>
    </w:pPr>
    <w:rPr>
      <w:rFonts w:ascii="Calibri" w:hAnsi="Calibri"/>
      <w:sz w:val="22"/>
      <w:szCs w:val="22"/>
      <w:lang w:eastAsia="en-US"/>
    </w:rPr>
  </w:style>
  <w:style w:type="paragraph" w:customStyle="1" w:styleId="2f4">
    <w:name w:val="Колонтитул (2)"/>
    <w:basedOn w:val="a"/>
    <w:qFormat/>
    <w:rsid w:val="00ED7F17"/>
    <w:pPr>
      <w:widowControl w:val="0"/>
      <w:shd w:val="clear" w:color="auto" w:fill="FFFFFF"/>
      <w:suppressAutoHyphens w:val="0"/>
      <w:overflowPunct/>
      <w:spacing w:after="160" w:line="259" w:lineRule="auto"/>
    </w:pPr>
    <w:rPr>
      <w:sz w:val="20"/>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18345811">
      <w:bodyDiv w:val="1"/>
      <w:marLeft w:val="0"/>
      <w:marRight w:val="0"/>
      <w:marTop w:val="0"/>
      <w:marBottom w:val="0"/>
      <w:divBdr>
        <w:top w:val="none" w:sz="0" w:space="0" w:color="auto"/>
        <w:left w:val="none" w:sz="0" w:space="0" w:color="auto"/>
        <w:bottom w:val="none" w:sz="0" w:space="0" w:color="auto"/>
        <w:right w:val="none" w:sz="0" w:space="0" w:color="auto"/>
      </w:divBdr>
    </w:div>
    <w:div w:id="193004218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file:///\\172.17.44.222\BackUP\User%20Docs\&#1052;&#1086;&#1088;&#1075;&#1091;&#1083;&#1100;\&#1055;&#1088;&#1086;&#1075;&#1088;&#1072;&#1084;&#1084;&#1072;%20&#1057;&#1057;&#1047;\&#1056;&#1077;&#1075;&#1080;&#1086;&#1085;&#1072;&#1083;&#1100;&#1085;&#1072;&#1103;%20&#1087;&#1088;&#1086;&#1075;&#1088;&#1072;&#1084;&#1084;&#1072;%20&#1040;&#1089;&#1090;&#1088;&#1072;&#1093;&#1072;&#1085;&#1089;&#1082;&#1086;&#1081;%20&#1086;&#1073;&#1083;&#1072;&#1089;&#1090;&#1080;%2013.06.2019.doc" TargetMode="External"/><Relationship Id="rId18" Type="http://schemas.openxmlformats.org/officeDocument/2006/relationships/hyperlink" Target="file:///\\172.17.44.222\BackUP\User%20Docs\&#1052;&#1086;&#1088;&#1075;&#1091;&#1083;&#1100;\&#1055;&#1088;&#1086;&#1075;&#1088;&#1072;&#1084;&#1084;&#1072;%20&#1057;&#1057;&#1047;\&#1056;&#1077;&#1075;&#1080;&#1086;&#1085;&#1072;&#1083;&#1100;&#1085;&#1072;&#1103;%20&#1087;&#1088;&#1086;&#1075;&#1088;&#1072;&#1084;&#1084;&#1072;%20&#1040;&#1089;&#1090;&#1088;&#1072;&#1093;&#1072;&#1085;&#1089;&#1082;&#1086;&#1081;%20&#1086;&#1073;&#1083;&#1072;&#1089;&#1090;&#1080;%2013.06.2019.doc" TargetMode="External"/><Relationship Id="rId26" Type="http://schemas.openxmlformats.org/officeDocument/2006/relationships/hyperlink" Target="https://ru.wikipedia.org/wiki/&#1042;&#1086;&#1083;&#1086;&#1076;&#1072;&#1088;&#1089;&#1082;&#1080;&#1081;_&#1088;&#1072;&#1081;&#1086;&#1085;_(&#1040;&#1089;&#1090;&#1088;&#1072;&#1093;&#1072;&#1085;&#1089;&#1082;&#1072;&#1103;_&#1086;&#1073;&#1083;&#1072;&#1089;&#1090;&#1100;)" TargetMode="External"/><Relationship Id="rId39" Type="http://schemas.openxmlformats.org/officeDocument/2006/relationships/hyperlink" Target="https://ru.wikipedia.org/wiki/&#1041;&#1091;&#1079;&#1072;&#1085;" TargetMode="External"/><Relationship Id="rId21" Type="http://schemas.openxmlformats.org/officeDocument/2006/relationships/hyperlink" Target="file:///\\172.17.44.222\BackUP\User%20Docs\&#1052;&#1086;&#1088;&#1075;&#1091;&#1083;&#1100;\&#1055;&#1088;&#1086;&#1075;&#1088;&#1072;&#1084;&#1084;&#1072;%20&#1057;&#1057;&#1047;\&#1056;&#1077;&#1075;&#1080;&#1086;&#1085;&#1072;&#1083;&#1100;&#1085;&#1072;&#1103;%20&#1087;&#1088;&#1086;&#1075;&#1088;&#1072;&#1084;&#1084;&#1072;%20&#1040;&#1089;&#1090;&#1088;&#1072;&#1093;&#1072;&#1085;&#1089;&#1082;&#1086;&#1081;%20&#1086;&#1073;&#1083;&#1072;&#1089;&#1090;&#1080;%2013.06.2019.doc" TargetMode="External"/><Relationship Id="rId34" Type="http://schemas.openxmlformats.org/officeDocument/2006/relationships/hyperlink" Target="https://ru.wikipedia.org/wiki/&#1061;&#1072;&#1088;&#1072;&#1073;&#1072;&#1083;&#1080;&#1085;&#1089;&#1082;&#1080;&#1081;_&#1088;&#1072;&#1081;&#1086;&#1085;" TargetMode="External"/><Relationship Id="rId42" Type="http://schemas.openxmlformats.org/officeDocument/2006/relationships/hyperlink" Target="https://ru.wikipedia.org/wiki/&#1050;&#1080;&#1079;&#1072;&#1085;&#1100;" TargetMode="External"/><Relationship Id="rId47" Type="http://schemas.openxmlformats.org/officeDocument/2006/relationships/hyperlink" Target="https://ru.wikipedia.org/wiki/&#1055;&#1086;&#1088;&#1090;" TargetMode="External"/><Relationship Id="rId50" Type="http://schemas.openxmlformats.org/officeDocument/2006/relationships/hyperlink" Target="https://ru.wikipedia.org/wiki/&#1054;&#1083;&#1103;_(&#1040;&#1089;&#1090;&#1088;&#1072;&#1093;&#1072;&#1085;&#1089;&#1082;&#1072;&#1103;_&#1086;&#1073;&#1083;&#1072;&#1089;&#1090;&#1100;)" TargetMode="External"/><Relationship Id="rId55" Type="http://schemas.openxmlformats.org/officeDocument/2006/relationships/image" Target="media/image3.png"/><Relationship Id="rId63" Type="http://schemas.openxmlformats.org/officeDocument/2006/relationships/image" Target="media/image7.png"/><Relationship Id="rId68" Type="http://schemas.openxmlformats.org/officeDocument/2006/relationships/hyperlink" Target="http://www.wikiznanie.ru/wp/index.php/&#1042;&#1086;&#1083;&#1075;&#1072;" TargetMode="External"/><Relationship Id="rId7" Type="http://schemas.openxmlformats.org/officeDocument/2006/relationships/hyperlink" Target="consultantplus://offline/ref=93DFAE769189E9F479E15B74B62FD6A1F7318A7CE818B739B478BE2D122DD98BD281BED9C6DA6801B5F68A2369B563J" TargetMode="External"/><Relationship Id="rId71" Type="http://schemas.openxmlformats.org/officeDocument/2006/relationships/hyperlink" Target="https://ru.wikipedia.org/wiki/&#1042;&#1086;&#1083;&#1075;&#1072;" TargetMode="External"/><Relationship Id="rId2" Type="http://schemas.openxmlformats.org/officeDocument/2006/relationships/styles" Target="styles.xml"/><Relationship Id="rId16" Type="http://schemas.openxmlformats.org/officeDocument/2006/relationships/hyperlink" Target="file:///\\172.17.44.222\BackUP\User%20Docs\&#1052;&#1086;&#1088;&#1075;&#1091;&#1083;&#1100;\&#1055;&#1088;&#1086;&#1075;&#1088;&#1072;&#1084;&#1084;&#1072;%20&#1057;&#1057;&#1047;\&#1056;&#1077;&#1075;&#1080;&#1086;&#1085;&#1072;&#1083;&#1100;&#1085;&#1072;&#1103;%20&#1087;&#1088;&#1086;&#1075;&#1088;&#1072;&#1084;&#1084;&#1072;%20&#1040;&#1089;&#1090;&#1088;&#1072;&#1093;&#1072;&#1085;&#1089;&#1082;&#1086;&#1081;%20&#1086;&#1073;&#1083;&#1072;&#1089;&#1090;&#1080;%2013.06.2019.doc" TargetMode="External"/><Relationship Id="rId29" Type="http://schemas.openxmlformats.org/officeDocument/2006/relationships/hyperlink" Target="https://ru.wikipedia.org/wiki/&#1050;&#1072;&#1084;&#1099;&#1079;&#1103;&#1082;&#1089;&#1082;&#1080;&#1081;_&#1088;&#1072;&#1081;&#1086;&#1085;" TargetMode="External"/><Relationship Id="rId11" Type="http://schemas.openxmlformats.org/officeDocument/2006/relationships/hyperlink" Target="file:///\\172.17.44.222\BackUP\User%20Docs\&#1052;&#1086;&#1088;&#1075;&#1091;&#1083;&#1100;\&#1055;&#1088;&#1086;&#1075;&#1088;&#1072;&#1084;&#1084;&#1072;%20&#1057;&#1057;&#1047;\&#1056;&#1077;&#1075;&#1080;&#1086;&#1085;&#1072;&#1083;&#1100;&#1085;&#1072;&#1103;%20&#1087;&#1088;&#1086;&#1075;&#1088;&#1072;&#1084;&#1084;&#1072;%20&#1040;&#1089;&#1090;&#1088;&#1072;&#1093;&#1072;&#1085;&#1089;&#1082;&#1086;&#1081;%20&#1086;&#1073;&#1083;&#1072;&#1089;&#1090;&#1080;%2013.06.2019.doc" TargetMode="External"/><Relationship Id="rId24" Type="http://schemas.openxmlformats.org/officeDocument/2006/relationships/hyperlink" Target="https://ru.wikipedia.org/wiki/&#1047;&#1085;&#1072;&#1084;&#1077;&#1085;&#1089;&#1082;_(&#1040;&#1089;&#1090;&#1088;&#1072;&#1093;&#1072;&#1085;&#1089;&#1082;&#1072;&#1103;_&#1086;&#1073;&#1083;&#1072;&#1089;&#1090;&#1100;)" TargetMode="External"/><Relationship Id="rId32" Type="http://schemas.openxmlformats.org/officeDocument/2006/relationships/hyperlink" Target="https://ru.wikipedia.org/wiki/&#1053;&#1072;&#1088;&#1080;&#1084;&#1072;&#1085;&#1086;&#1074;&#1089;&#1082;&#1080;&#1081;_&#1088;&#1072;&#1081;&#1086;&#1085;_(&#1040;&#1089;&#1090;&#1088;&#1072;&#1093;&#1072;&#1085;&#1089;&#1082;&#1072;&#1103;_&#1086;&#1073;&#1083;&#1072;&#1089;&#1090;&#1100;)" TargetMode="External"/><Relationship Id="rId37" Type="http://schemas.openxmlformats.org/officeDocument/2006/relationships/hyperlink" Target="https://ru.wikipedia.org/wiki/&#1042;&#1086;&#1083;&#1075;&#1072;" TargetMode="External"/><Relationship Id="rId40" Type="http://schemas.openxmlformats.org/officeDocument/2006/relationships/hyperlink" Target="https://ru.wikipedia.org/wiki/&#1041;&#1086;&#1083;&#1076;&#1072;" TargetMode="External"/><Relationship Id="rId45" Type="http://schemas.openxmlformats.org/officeDocument/2006/relationships/hyperlink" Target="https://ru.wikipedia.org/wiki/&#1040;&#1089;&#1090;&#1088;&#1072;&#1093;&#1072;&#1085;&#1100;" TargetMode="External"/><Relationship Id="rId53" Type="http://schemas.openxmlformats.org/officeDocument/2006/relationships/hyperlink" Target="https://ru.wikipedia.org/wiki/&#1040;&#1089;&#1090;&#1088;&#1072;&#1093;&#1072;&#1085;&#1100;_(&#1072;&#1101;&#1088;&#1086;&#1087;&#1086;&#1088;&#1090;)" TargetMode="External"/><Relationship Id="rId58" Type="http://schemas.openxmlformats.org/officeDocument/2006/relationships/hyperlink" Target="https://ru.wikipedia.org/wiki/&#1043;&#1086;&#1088;&#1086;&#1076;" TargetMode="External"/><Relationship Id="rId66" Type="http://schemas.openxmlformats.org/officeDocument/2006/relationships/image" Target="media/image10.png"/><Relationship Id="rId7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file:///\\172.17.44.222\BackUP\User%20Docs\&#1052;&#1086;&#1088;&#1075;&#1091;&#1083;&#1100;\&#1055;&#1088;&#1086;&#1075;&#1088;&#1072;&#1084;&#1084;&#1072;%20&#1057;&#1057;&#1047;\&#1056;&#1077;&#1075;&#1080;&#1086;&#1085;&#1072;&#1083;&#1100;&#1085;&#1072;&#1103;%20&#1087;&#1088;&#1086;&#1075;&#1088;&#1072;&#1084;&#1084;&#1072;%20&#1040;&#1089;&#1090;&#1088;&#1072;&#1093;&#1072;&#1085;&#1089;&#1082;&#1086;&#1081;%20&#1086;&#1073;&#1083;&#1072;&#1089;&#1090;&#1080;%2013.06.2019.doc" TargetMode="External"/><Relationship Id="rId23" Type="http://schemas.openxmlformats.org/officeDocument/2006/relationships/hyperlink" Target="https://ru.wikipedia.org/wiki/&#1040;&#1089;&#1090;&#1088;&#1072;&#1093;&#1072;&#1085;&#1100;" TargetMode="External"/><Relationship Id="rId28" Type="http://schemas.openxmlformats.org/officeDocument/2006/relationships/hyperlink" Target="https://ru.wikipedia.org/wiki/&#1048;&#1082;&#1088;&#1103;&#1085;&#1080;&#1085;&#1089;&#1082;&#1080;&#1081;_&#1088;&#1072;&#1081;&#1086;&#1085;" TargetMode="External"/><Relationship Id="rId36" Type="http://schemas.openxmlformats.org/officeDocument/2006/relationships/image" Target="media/image1.png"/><Relationship Id="rId49" Type="http://schemas.openxmlformats.org/officeDocument/2006/relationships/hyperlink" Target="https://ru.wikipedia.org/wiki/&#1041;&#1072;&#1093;&#1090;&#1077;&#1084;&#1080;&#1088;" TargetMode="External"/><Relationship Id="rId57" Type="http://schemas.openxmlformats.org/officeDocument/2006/relationships/image" Target="media/image4.png"/><Relationship Id="rId61" Type="http://schemas.openxmlformats.org/officeDocument/2006/relationships/package" Target="embeddings/_____Microsoft_Excel2.xlsx"/><Relationship Id="rId10" Type="http://schemas.openxmlformats.org/officeDocument/2006/relationships/hyperlink" Target="file:///\\172.17.44.222\BackUP\User%20Docs\&#1052;&#1086;&#1088;&#1075;&#1091;&#1083;&#1100;\&#1055;&#1088;&#1086;&#1075;&#1088;&#1072;&#1084;&#1084;&#1072;%20&#1057;&#1057;&#1047;\&#1056;&#1077;&#1075;&#1080;&#1086;&#1085;&#1072;&#1083;&#1100;&#1085;&#1072;&#1103;%20&#1087;&#1088;&#1086;&#1075;&#1088;&#1072;&#1084;&#1084;&#1072;%20&#1040;&#1089;&#1090;&#1088;&#1072;&#1093;&#1072;&#1085;&#1089;&#1082;&#1086;&#1081;%20&#1086;&#1073;&#1083;&#1072;&#1089;&#1090;&#1080;%2013.06.2019.doc" TargetMode="External"/><Relationship Id="rId19" Type="http://schemas.openxmlformats.org/officeDocument/2006/relationships/hyperlink" Target="file:///\\172.17.44.222\BackUP\User%20Docs\&#1052;&#1086;&#1088;&#1075;&#1091;&#1083;&#1100;\&#1055;&#1088;&#1086;&#1075;&#1088;&#1072;&#1084;&#1084;&#1072;%20&#1057;&#1057;&#1047;\&#1056;&#1077;&#1075;&#1080;&#1086;&#1085;&#1072;&#1083;&#1100;&#1085;&#1072;&#1103;%20&#1087;&#1088;&#1086;&#1075;&#1088;&#1072;&#1084;&#1084;&#1072;%20&#1040;&#1089;&#1090;&#1088;&#1072;&#1093;&#1072;&#1085;&#1089;&#1082;&#1086;&#1081;%20&#1086;&#1073;&#1083;&#1072;&#1089;&#1090;&#1080;%2013.06.2019.doc" TargetMode="External"/><Relationship Id="rId31" Type="http://schemas.openxmlformats.org/officeDocument/2006/relationships/hyperlink" Target="https://ru.wikipedia.org/wiki/&#1051;&#1080;&#1084;&#1072;&#1085;&#1089;&#1082;&#1080;&#1081;_&#1088;&#1072;&#1081;&#1086;&#1085;_(&#1040;&#1089;&#1090;&#1088;&#1072;&#1093;&#1072;&#1085;&#1089;&#1082;&#1072;&#1103;_&#1086;&#1073;&#1083;&#1072;&#1089;&#1090;&#1100;)" TargetMode="External"/><Relationship Id="rId44" Type="http://schemas.openxmlformats.org/officeDocument/2006/relationships/hyperlink" Target="https://ru.wikipedia.org/wiki/&#1051;&#1077;&#1076;&#1086;&#1089;&#1090;&#1072;&#1074;" TargetMode="External"/><Relationship Id="rId52" Type="http://schemas.openxmlformats.org/officeDocument/2006/relationships/hyperlink" Target="https://ru.wikipedia.org/wiki/&#1048;&#1088;&#1072;&#1085;" TargetMode="External"/><Relationship Id="rId60" Type="http://schemas.openxmlformats.org/officeDocument/2006/relationships/image" Target="media/image5.emf"/><Relationship Id="rId65" Type="http://schemas.openxmlformats.org/officeDocument/2006/relationships/image" Target="media/image9.png"/><Relationship Id="rId73"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file:///\\172.17.44.222\BackUP\User%20Docs\&#1052;&#1086;&#1088;&#1075;&#1091;&#1083;&#1100;\&#1055;&#1088;&#1086;&#1075;&#1088;&#1072;&#1084;&#1084;&#1072;%20&#1057;&#1057;&#1047;\&#1056;&#1077;&#1075;&#1080;&#1086;&#1085;&#1072;&#1083;&#1100;&#1085;&#1072;&#1103;%20&#1087;&#1088;&#1086;&#1075;&#1088;&#1072;&#1084;&#1084;&#1072;%20&#1040;&#1089;&#1090;&#1088;&#1072;&#1093;&#1072;&#1085;&#1089;&#1082;&#1086;&#1081;%20&#1086;&#1073;&#1083;&#1072;&#1089;&#1090;&#1080;%2013.06.2019.doc" TargetMode="External"/><Relationship Id="rId14" Type="http://schemas.openxmlformats.org/officeDocument/2006/relationships/hyperlink" Target="file:///\\172.17.44.222\BackUP\User%20Docs\&#1052;&#1086;&#1088;&#1075;&#1091;&#1083;&#1100;\&#1055;&#1088;&#1086;&#1075;&#1088;&#1072;&#1084;&#1084;&#1072;%20&#1057;&#1057;&#1047;\&#1056;&#1077;&#1075;&#1080;&#1086;&#1085;&#1072;&#1083;&#1100;&#1085;&#1072;&#1103;%20&#1087;&#1088;&#1086;&#1075;&#1088;&#1072;&#1084;&#1084;&#1072;%20&#1040;&#1089;&#1090;&#1088;&#1072;&#1093;&#1072;&#1085;&#1089;&#1082;&#1086;&#1081;%20&#1086;&#1073;&#1083;&#1072;&#1089;&#1090;&#1080;%2013.06.2019.doc" TargetMode="External"/><Relationship Id="rId22" Type="http://schemas.openxmlformats.org/officeDocument/2006/relationships/hyperlink" Target="file:///\\172.17.44.222\BackUP\User%20Docs\&#1052;&#1086;&#1088;&#1075;&#1091;&#1083;&#1100;\&#1055;&#1088;&#1086;&#1075;&#1088;&#1072;&#1084;&#1084;&#1072;%20&#1057;&#1057;&#1047;\&#1056;&#1077;&#1075;&#1080;&#1086;&#1085;&#1072;&#1083;&#1100;&#1085;&#1072;&#1103;%20&#1087;&#1088;&#1086;&#1075;&#1088;&#1072;&#1084;&#1084;&#1072;%20&#1040;&#1089;&#1090;&#1088;&#1072;&#1093;&#1072;&#1085;&#1089;&#1082;&#1086;&#1081;%20&#1086;&#1073;&#1083;&#1072;&#1089;&#1090;&#1080;%2013.06.2019.doc" TargetMode="External"/><Relationship Id="rId27" Type="http://schemas.openxmlformats.org/officeDocument/2006/relationships/hyperlink" Target="https://ru.wikipedia.org/wiki/&#1045;&#1085;&#1086;&#1090;&#1072;&#1077;&#1074;&#1089;&#1082;&#1080;&#1081;_&#1088;&#1072;&#1081;&#1086;&#1085;" TargetMode="External"/><Relationship Id="rId30" Type="http://schemas.openxmlformats.org/officeDocument/2006/relationships/hyperlink" Target="https://ru.wikipedia.org/wiki/&#1050;&#1088;&#1072;&#1089;&#1085;&#1086;&#1103;&#1088;&#1089;&#1082;&#1080;&#1081;_&#1088;&#1072;&#1081;&#1086;&#1085;_(&#1040;&#1089;&#1090;&#1088;&#1072;&#1093;&#1072;&#1085;&#1089;&#1082;&#1072;&#1103;_&#1086;&#1073;&#1083;&#1072;&#1089;&#1090;&#1100;)" TargetMode="External"/><Relationship Id="rId35" Type="http://schemas.openxmlformats.org/officeDocument/2006/relationships/hyperlink" Target="https://ru.wikipedia.org/wiki/&#1063;&#1077;&#1088;&#1085;&#1086;&#1103;&#1088;&#1089;&#1082;&#1080;&#1081;_&#1088;&#1072;&#1081;&#1086;&#1085;" TargetMode="External"/><Relationship Id="rId43" Type="http://schemas.openxmlformats.org/officeDocument/2006/relationships/hyperlink" Target="https://ru.wikipedia.org/wiki/&#1062;&#1072;&#1088;&#1077;&#1074;_(&#1077;&#1088;&#1080;&#1082;)" TargetMode="External"/><Relationship Id="rId48" Type="http://schemas.openxmlformats.org/officeDocument/2006/relationships/hyperlink" Target="https://ru.wikipedia.org/wiki/&#1042;&#1086;&#1083;&#1075;&#1086;-&#1050;&#1072;&#1089;&#1087;&#1080;&#1081;&#1089;&#1082;&#1080;&#1081;_&#1082;&#1072;&#1085;&#1072;&#1083;" TargetMode="External"/><Relationship Id="rId56" Type="http://schemas.openxmlformats.org/officeDocument/2006/relationships/chart" Target="charts/chart1.xml"/><Relationship Id="rId64" Type="http://schemas.openxmlformats.org/officeDocument/2006/relationships/image" Target="media/image8.png"/><Relationship Id="rId69" Type="http://schemas.openxmlformats.org/officeDocument/2006/relationships/hyperlink" Target="https://ru.wikipedia.org/wiki/&#1042;&#1086;&#1083;&#1075;&#1072;" TargetMode="External"/><Relationship Id="rId8" Type="http://schemas.openxmlformats.org/officeDocument/2006/relationships/hyperlink" Target="consultantplus://offline/ref=93DFAE769189E9F479E15B74B62FD6A1F7318A7CE818B739B478BE2D122DD98BD281BED9C6DA6801B5F68A2369B563J" TargetMode="External"/><Relationship Id="rId51" Type="http://schemas.openxmlformats.org/officeDocument/2006/relationships/hyperlink" Target="https://ru.wikipedia.org/wiki/&#1043;&#1080;&#1083;&#1103;&#1085;" TargetMode="External"/><Relationship Id="rId72" Type="http://schemas.openxmlformats.org/officeDocument/2006/relationships/hyperlink" Target="https://biograf.academic.ru/dic.nsf/ruwiki/11990" TargetMode="External"/><Relationship Id="rId3" Type="http://schemas.openxmlformats.org/officeDocument/2006/relationships/settings" Target="settings.xml"/><Relationship Id="rId12" Type="http://schemas.openxmlformats.org/officeDocument/2006/relationships/hyperlink" Target="file:///\\172.17.44.222\BackUP\User%20Docs\&#1052;&#1086;&#1088;&#1075;&#1091;&#1083;&#1100;\&#1055;&#1088;&#1086;&#1075;&#1088;&#1072;&#1084;&#1084;&#1072;%20&#1057;&#1057;&#1047;\&#1056;&#1077;&#1075;&#1080;&#1086;&#1085;&#1072;&#1083;&#1100;&#1085;&#1072;&#1103;%20&#1087;&#1088;&#1086;&#1075;&#1088;&#1072;&#1084;&#1084;&#1072;%20&#1040;&#1089;&#1090;&#1088;&#1072;&#1093;&#1072;&#1085;&#1089;&#1082;&#1086;&#1081;%20&#1086;&#1073;&#1083;&#1072;&#1089;&#1090;&#1080;%2013.06.2019.doc" TargetMode="External"/><Relationship Id="rId17" Type="http://schemas.openxmlformats.org/officeDocument/2006/relationships/hyperlink" Target="file:///\\172.17.44.222\BackUP\User%20Docs\&#1052;&#1086;&#1088;&#1075;&#1091;&#1083;&#1100;\&#1055;&#1088;&#1086;&#1075;&#1088;&#1072;&#1084;&#1084;&#1072;%20&#1057;&#1057;&#1047;\&#1056;&#1077;&#1075;&#1080;&#1086;&#1085;&#1072;&#1083;&#1100;&#1085;&#1072;&#1103;%20&#1087;&#1088;&#1086;&#1075;&#1088;&#1072;&#1084;&#1084;&#1072;%20&#1040;&#1089;&#1090;&#1088;&#1072;&#1093;&#1072;&#1085;&#1089;&#1082;&#1086;&#1081;%20&#1086;&#1073;&#1083;&#1072;&#1089;&#1090;&#1080;%2013.06.2019.doc" TargetMode="External"/><Relationship Id="rId25" Type="http://schemas.openxmlformats.org/officeDocument/2006/relationships/hyperlink" Target="https://ru.wikipedia.org/wiki/&#1040;&#1093;&#1090;&#1091;&#1073;&#1080;&#1085;&#1089;&#1082;&#1080;&#1081;_&#1088;&#1072;&#1081;&#1086;&#1085;" TargetMode="External"/><Relationship Id="rId33" Type="http://schemas.openxmlformats.org/officeDocument/2006/relationships/hyperlink" Target="https://ru.wikipedia.org/wiki/&#1055;&#1088;&#1080;&#1074;&#1086;&#1083;&#1078;&#1089;&#1082;&#1080;&#1081;_&#1088;&#1072;&#1081;&#1086;&#1085;_(&#1040;&#1089;&#1090;&#1088;&#1072;&#1093;&#1072;&#1085;&#1089;&#1082;&#1072;&#1103;_&#1086;&#1073;&#1083;&#1072;&#1089;&#1090;&#1100;)" TargetMode="External"/><Relationship Id="rId38" Type="http://schemas.openxmlformats.org/officeDocument/2006/relationships/hyperlink" Target="https://ru.wikipedia.org/wiki/&#1041;&#1072;&#1093;&#1090;&#1077;&#1084;&#1080;&#1088;" TargetMode="External"/><Relationship Id="rId46" Type="http://schemas.openxmlformats.org/officeDocument/2006/relationships/hyperlink" Target="https://ru.wikipedia.org/wiki/&#1054;&#1083;&#1103;_(&#1040;&#1089;&#1090;&#1088;&#1072;&#1093;&#1072;&#1085;&#1089;&#1082;&#1072;&#1103;_&#1086;&#1073;&#1083;&#1072;&#1089;&#1090;&#1100;)" TargetMode="External"/><Relationship Id="rId59" Type="http://schemas.openxmlformats.org/officeDocument/2006/relationships/hyperlink" Target="https://ru.wikipedia.org/wiki/&#1055;&#1086;&#1089;&#1105;&#1083;&#1086;&#1082;_&#1075;&#1086;&#1088;&#1086;&#1076;&#1089;&#1082;&#1086;&#1075;&#1086;_&#1090;&#1080;&#1087;&#1072;" TargetMode="External"/><Relationship Id="rId67" Type="http://schemas.openxmlformats.org/officeDocument/2006/relationships/image" Target="media/image11.png"/><Relationship Id="rId20" Type="http://schemas.openxmlformats.org/officeDocument/2006/relationships/hyperlink" Target="file:///\\172.17.44.222\BackUP\User%20Docs\&#1052;&#1086;&#1088;&#1075;&#1091;&#1083;&#1100;\&#1055;&#1088;&#1086;&#1075;&#1088;&#1072;&#1084;&#1084;&#1072;%20&#1057;&#1057;&#1047;\&#1056;&#1077;&#1075;&#1080;&#1086;&#1085;&#1072;&#1083;&#1100;&#1085;&#1072;&#1103;%20&#1087;&#1088;&#1086;&#1075;&#1088;&#1072;&#1084;&#1084;&#1072;%20&#1040;&#1089;&#1090;&#1088;&#1072;&#1093;&#1072;&#1085;&#1089;&#1082;&#1086;&#1081;%20&#1086;&#1073;&#1083;&#1072;&#1089;&#1090;&#1080;%2013.06.2019.doc" TargetMode="External"/><Relationship Id="rId41" Type="http://schemas.openxmlformats.org/officeDocument/2006/relationships/hyperlink" Target="https://ru.wikipedia.org/wiki/&#1040;&#1093;&#1090;&#1091;&#1073;&#1072;" TargetMode="External"/><Relationship Id="rId54" Type="http://schemas.openxmlformats.org/officeDocument/2006/relationships/image" Target="media/image2.png"/><Relationship Id="rId62" Type="http://schemas.openxmlformats.org/officeDocument/2006/relationships/image" Target="media/image6.png"/><Relationship Id="rId70" Type="http://schemas.openxmlformats.org/officeDocument/2006/relationships/hyperlink" Target="http://wp.wiki-wiki.ru/wp/index.php/&#1042;&#1086;&#1083;&#1075;&#1072;" TargetMode="External"/><Relationship Id="rId75"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32"/>
      <c:rotY val="20"/>
      <c:depthPercent val="90"/>
      <c:rAngAx val="1"/>
    </c:view3D>
    <c:floor>
      <c:thickness val="0"/>
      <c:spPr>
        <a:noFill/>
        <a:ln w="3175">
          <a:solidFill>
            <a:srgbClr val="000000"/>
          </a:solidFill>
          <a:prstDash val="solid"/>
        </a:ln>
      </c:spPr>
    </c:floor>
    <c:sideWall>
      <c:thickness val="0"/>
      <c:spPr>
        <a:noFill/>
        <a:ln w="12700">
          <a:solidFill>
            <a:srgbClr val="FFFFFF"/>
          </a:solidFill>
          <a:prstDash val="solid"/>
        </a:ln>
      </c:spPr>
    </c:sideWall>
    <c:backWall>
      <c:thickness val="0"/>
      <c:spPr>
        <a:noFill/>
        <a:ln w="12700">
          <a:solidFill>
            <a:srgbClr val="FFFFFF"/>
          </a:solidFill>
          <a:prstDash val="solid"/>
        </a:ln>
      </c:spPr>
    </c:backWall>
    <c:plotArea>
      <c:layout>
        <c:manualLayout>
          <c:layoutTarget val="inner"/>
          <c:xMode val="edge"/>
          <c:yMode val="edge"/>
          <c:x val="4.3269230769230761E-2"/>
          <c:y val="5.7291666666666664E-2"/>
          <c:w val="0.83173076923076927"/>
          <c:h val="0.76041666666666663"/>
        </c:manualLayout>
      </c:layout>
      <c:bar3DChart>
        <c:barDir val="col"/>
        <c:grouping val="clustered"/>
        <c:varyColors val="0"/>
        <c:ser>
          <c:idx val="0"/>
          <c:order val="0"/>
          <c:tx>
            <c:strRef>
              <c:f>Sheet1!$A$2</c:f>
              <c:strCache>
                <c:ptCount val="1"/>
                <c:pt idx="0">
                  <c:v>2017</c:v>
                </c:pt>
              </c:strCache>
            </c:strRef>
          </c:tx>
          <c:spPr>
            <a:solidFill>
              <a:srgbClr val="9999FF"/>
            </a:solidFill>
            <a:ln w="14046">
              <a:solidFill>
                <a:srgbClr val="000000"/>
              </a:solidFill>
              <a:prstDash val="solid"/>
            </a:ln>
          </c:spPr>
          <c:invertIfNegative val="0"/>
          <c:dLbls>
            <c:dLbl>
              <c:idx val="0"/>
              <c:layout>
                <c:manualLayout>
                  <c:x val="5.3214039656385839E-2"/>
                  <c:y val="-0.20191020175161351"/>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5.661780054546677E-3"/>
                  <c:y val="-0.10166843305254393"/>
                </c:manualLayout>
              </c:layout>
              <c:showLegendKey val="0"/>
              <c:showVal val="1"/>
              <c:showCatName val="0"/>
              <c:showSerName val="0"/>
              <c:showPercent val="0"/>
              <c:showBubbleSize val="0"/>
              <c:extLst>
                <c:ext xmlns:c15="http://schemas.microsoft.com/office/drawing/2012/chart" uri="{CE6537A1-D6FC-4f65-9D91-7224C49458BB}"/>
              </c:extLst>
            </c:dLbl>
            <c:spPr>
              <a:noFill/>
              <a:ln w="28091">
                <a:noFill/>
              </a:ln>
            </c:spPr>
            <c:txPr>
              <a:bodyPr/>
              <a:lstStyle/>
              <a:p>
                <a:pPr>
                  <a:defRPr sz="885"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кардиологические</c:v>
                </c:pt>
                <c:pt idx="1">
                  <c:v>кардиохирургические</c:v>
                </c:pt>
              </c:strCache>
            </c:strRef>
          </c:cat>
          <c:val>
            <c:numRef>
              <c:f>Sheet1!$B$2:$C$2</c:f>
              <c:numCache>
                <c:formatCode>0.0</c:formatCode>
                <c:ptCount val="2"/>
                <c:pt idx="0" formatCode="General">
                  <c:v>3.4</c:v>
                </c:pt>
                <c:pt idx="1">
                  <c:v>2</c:v>
                </c:pt>
              </c:numCache>
            </c:numRef>
          </c:val>
        </c:ser>
        <c:ser>
          <c:idx val="1"/>
          <c:order val="1"/>
          <c:tx>
            <c:strRef>
              <c:f>Sheet1!$A$3</c:f>
              <c:strCache>
                <c:ptCount val="1"/>
                <c:pt idx="0">
                  <c:v>2018</c:v>
                </c:pt>
              </c:strCache>
            </c:strRef>
          </c:tx>
          <c:spPr>
            <a:solidFill>
              <a:srgbClr val="993366"/>
            </a:solidFill>
            <a:ln w="14046">
              <a:solidFill>
                <a:srgbClr val="000000"/>
              </a:solidFill>
              <a:prstDash val="solid"/>
            </a:ln>
          </c:spPr>
          <c:invertIfNegative val="0"/>
          <c:dLbls>
            <c:dLbl>
              <c:idx val="0"/>
              <c:layout>
                <c:manualLayout>
                  <c:x val="4.9113346245669688E-2"/>
                  <c:y val="-0.2502625101345316"/>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4570165772955118E-2"/>
                  <c:y val="-0.10510841944822348"/>
                </c:manualLayout>
              </c:layout>
              <c:showLegendKey val="0"/>
              <c:showVal val="1"/>
              <c:showCatName val="0"/>
              <c:showSerName val="0"/>
              <c:showPercent val="0"/>
              <c:showBubbleSize val="0"/>
              <c:extLst>
                <c:ext xmlns:c15="http://schemas.microsoft.com/office/drawing/2012/chart" uri="{CE6537A1-D6FC-4f65-9D91-7224C49458BB}"/>
              </c:extLst>
            </c:dLbl>
            <c:spPr>
              <a:noFill/>
              <a:ln w="28091">
                <a:noFill/>
              </a:ln>
            </c:spPr>
            <c:txPr>
              <a:bodyPr/>
              <a:lstStyle/>
              <a:p>
                <a:pPr algn="l">
                  <a:defRPr sz="885"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кардиологические</c:v>
                </c:pt>
                <c:pt idx="1">
                  <c:v>кардиохирургические</c:v>
                </c:pt>
              </c:strCache>
            </c:strRef>
          </c:cat>
          <c:val>
            <c:numRef>
              <c:f>Sheet1!$B$3:$C$3</c:f>
              <c:numCache>
                <c:formatCode>General</c:formatCode>
                <c:ptCount val="2"/>
                <c:pt idx="0">
                  <c:v>4.2</c:v>
                </c:pt>
                <c:pt idx="1">
                  <c:v>2.1</c:v>
                </c:pt>
              </c:numCache>
            </c:numRef>
          </c:val>
        </c:ser>
        <c:dLbls>
          <c:showLegendKey val="0"/>
          <c:showVal val="0"/>
          <c:showCatName val="0"/>
          <c:showSerName val="0"/>
          <c:showPercent val="0"/>
          <c:showBubbleSize val="0"/>
        </c:dLbls>
        <c:gapWidth val="290"/>
        <c:gapDepth val="0"/>
        <c:shape val="box"/>
        <c:axId val="633646776"/>
        <c:axId val="633647952"/>
        <c:axId val="0"/>
      </c:bar3DChart>
      <c:catAx>
        <c:axId val="633646776"/>
        <c:scaling>
          <c:orientation val="minMax"/>
        </c:scaling>
        <c:delete val="0"/>
        <c:axPos val="b"/>
        <c:majorGridlines>
          <c:spPr>
            <a:ln w="14046">
              <a:solidFill>
                <a:srgbClr val="FFFFFF"/>
              </a:solidFill>
              <a:prstDash val="solid"/>
            </a:ln>
          </c:spPr>
        </c:majorGridlines>
        <c:numFmt formatCode="General" sourceLinked="1"/>
        <c:majorTickMark val="out"/>
        <c:minorTickMark val="none"/>
        <c:tickLblPos val="low"/>
        <c:spPr>
          <a:ln w="3511">
            <a:solidFill>
              <a:srgbClr val="000000"/>
            </a:solidFill>
            <a:prstDash val="solid"/>
          </a:ln>
        </c:spPr>
        <c:txPr>
          <a:bodyPr rot="0" vert="horz"/>
          <a:lstStyle/>
          <a:p>
            <a:pPr>
              <a:defRPr sz="636" b="1" i="0" u="none" strike="noStrike" baseline="0">
                <a:solidFill>
                  <a:srgbClr val="000000"/>
                </a:solidFill>
                <a:latin typeface="Calibri"/>
                <a:ea typeface="Calibri"/>
                <a:cs typeface="Calibri"/>
              </a:defRPr>
            </a:pPr>
            <a:endParaRPr lang="ru-RU"/>
          </a:p>
        </c:txPr>
        <c:crossAx val="633647952"/>
        <c:crosses val="autoZero"/>
        <c:auto val="1"/>
        <c:lblAlgn val="ctr"/>
        <c:lblOffset val="100"/>
        <c:tickLblSkip val="1"/>
        <c:tickMarkSkip val="1"/>
        <c:noMultiLvlLbl val="0"/>
      </c:catAx>
      <c:valAx>
        <c:axId val="633647952"/>
        <c:scaling>
          <c:orientation val="minMax"/>
        </c:scaling>
        <c:delete val="0"/>
        <c:axPos val="l"/>
        <c:majorGridlines>
          <c:spPr>
            <a:ln w="14046">
              <a:solidFill>
                <a:srgbClr val="FFFFFF"/>
              </a:solidFill>
              <a:prstDash val="solid"/>
            </a:ln>
          </c:spPr>
        </c:majorGridlines>
        <c:numFmt formatCode="General" sourceLinked="1"/>
        <c:majorTickMark val="out"/>
        <c:minorTickMark val="none"/>
        <c:tickLblPos val="nextTo"/>
        <c:spPr>
          <a:ln w="3511">
            <a:solidFill>
              <a:srgbClr val="000000"/>
            </a:solidFill>
            <a:prstDash val="solid"/>
          </a:ln>
        </c:spPr>
        <c:txPr>
          <a:bodyPr rot="0" vert="horz"/>
          <a:lstStyle/>
          <a:p>
            <a:pPr>
              <a:defRPr sz="525" b="1" i="0" u="none" strike="noStrike" baseline="0">
                <a:solidFill>
                  <a:srgbClr val="000000"/>
                </a:solidFill>
                <a:latin typeface="Calibri"/>
                <a:ea typeface="Calibri"/>
                <a:cs typeface="Calibri"/>
              </a:defRPr>
            </a:pPr>
            <a:endParaRPr lang="ru-RU"/>
          </a:p>
        </c:txPr>
        <c:crossAx val="633646776"/>
        <c:crosses val="autoZero"/>
        <c:crossBetween val="between"/>
      </c:valAx>
      <c:spPr>
        <a:noFill/>
        <a:ln w="28091">
          <a:noFill/>
        </a:ln>
      </c:spPr>
    </c:plotArea>
    <c:legend>
      <c:legendPos val="r"/>
      <c:layout>
        <c:manualLayout>
          <c:xMode val="edge"/>
          <c:yMode val="edge"/>
          <c:x val="0.6169871794871794"/>
          <c:y val="4.6874999999999993E-2"/>
          <c:w val="9.6153846153846145E-2"/>
          <c:h val="0.18749999999999997"/>
        </c:manualLayout>
      </c:layout>
      <c:overlay val="0"/>
      <c:spPr>
        <a:noFill/>
        <a:ln w="28091">
          <a:noFill/>
        </a:ln>
      </c:spPr>
      <c:txPr>
        <a:bodyPr/>
        <a:lstStyle/>
        <a:p>
          <a:pPr>
            <a:defRPr sz="813" b="1" i="0" u="none" strike="noStrike" baseline="0">
              <a:solidFill>
                <a:srgbClr val="000000"/>
              </a:solidFill>
              <a:latin typeface="Calibri"/>
              <a:ea typeface="Calibri"/>
              <a:cs typeface="Calibri"/>
            </a:defRPr>
          </a:pPr>
          <a:endParaRPr lang="ru-RU"/>
        </a:p>
      </c:txPr>
    </c:legend>
    <c:plotVisOnly val="1"/>
    <c:dispBlanksAs val="gap"/>
    <c:showDLblsOverMax val="0"/>
  </c:chart>
  <c:spPr>
    <a:solidFill>
      <a:srgbClr val="FFFFFF"/>
    </a:solidFill>
    <a:ln>
      <a:noFill/>
    </a:ln>
  </c:spPr>
  <c:txPr>
    <a:bodyPr/>
    <a:lstStyle/>
    <a:p>
      <a:pPr>
        <a:defRPr sz="885" b="1" i="0" u="none" strike="noStrike" baseline="0">
          <a:solidFill>
            <a:srgbClr val="000000"/>
          </a:solidFill>
          <a:latin typeface="Calibri"/>
          <a:ea typeface="Calibri"/>
          <a:cs typeface="Calibri"/>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TotalTime>
  <Pages>134</Pages>
  <Words>43974</Words>
  <Characters>250652</Characters>
  <Application>Microsoft Office Word</Application>
  <DocSecurity>0</DocSecurity>
  <Lines>2088</Lines>
  <Paragraphs>588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294038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Куваева Татьяна Вячеславовна</dc:creator>
  <cp:lastModifiedBy>Денисенко Татьяна Владимировна</cp:lastModifiedBy>
  <cp:revision>5</cp:revision>
  <cp:lastPrinted>2019-06-13T13:57:00Z</cp:lastPrinted>
  <dcterms:created xsi:type="dcterms:W3CDTF">2019-06-14T06:39:00Z</dcterms:created>
  <dcterms:modified xsi:type="dcterms:W3CDTF">2019-06-14T08:44:00Z</dcterms:modified>
  <dc:language>ru-RU</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